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F4" w:rsidRPr="00243566" w:rsidRDefault="00243566" w:rsidP="00CE78D4">
      <w:pPr>
        <w:pStyle w:val="a3"/>
        <w:bidi/>
        <w:rPr>
          <w:rFonts w:hint="cs"/>
        </w:rPr>
      </w:pPr>
      <w:r>
        <w:rPr>
          <w:rFonts w:cs="Traditional Arabic"/>
          <w:color w:val="000000"/>
          <w:sz w:val="36"/>
          <w:szCs w:val="36"/>
          <w:rtl/>
        </w:rPr>
        <w:t>المنهج النقدي في" الأدب والغرابة</w:t>
      </w:r>
      <w:r>
        <w:rPr>
          <w:rFonts w:cs="Traditional Arabic"/>
          <w:color w:val="000000"/>
          <w:sz w:val="36"/>
          <w:szCs w:val="36"/>
        </w:rPr>
        <w:t>"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 xml:space="preserve">لعبد الفتاح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كليطو</w:t>
      </w:r>
      <w:proofErr w:type="spellEnd"/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>١٦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كانون الأول (ديسمبر) ٢٠٠٦ ، بقلم الدكتور جميل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حمداوي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>من يتأمل كتاب الناقد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المغربي الدكتور عبد الفتاح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كليطو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" الأدب والغرابة" سيجد تحت عنوانه الخارجي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تعيينا جنسيا يتمثل في العبارة التالية:" دراسات بنيوية في الأدب العربي". ويعني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هذا أن الناقد يسعى إلى تطبيق المنهج البنيوي على الأدب العربي القديم قصد تحديد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مكوناته الثابتة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المحايثة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وقواعده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التجنيسية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وآلياته المولدة. ويكفي عبد الفتاح</w:t>
      </w:r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كليطو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فخرا أنه أول من درس الثقافة العربية الكلاسيكية بمناهج أكثر حداثة وتجديدا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وتجريبا ولكن دون أن ينساق وراء المنهج ، لأنه كان دائما ينطلق من الداخل النصي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الذي يفرض عليه طبيعة المنهج وكيفية القراءة والوصف والتأويل. وقبل الدخول في تحديد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مقومات المنهج عند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كليطو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والتثبت من صفاء منهجه ونقائه ، علينا أولا وقبل كل شيء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تعريف قارئنا بالبنيوية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ومرتكزاتها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الأساسية ومفاهيمها الإجرائية. وهذا ما سنسطره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في الأسطر الموالية. تعال –إذاً- أخي القارئ لنتتبع مسار البنيوية بشكل متدرج عسى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أن نستوعب معا بعض دلالاتها النظرية والمنهجية، واعذرني إن قصرت في التبليغ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والتوضيح والتفسير</w:t>
      </w:r>
      <w:r>
        <w:rPr>
          <w:rFonts w:cs="Traditional Arabic"/>
          <w:color w:val="000000"/>
          <w:sz w:val="36"/>
          <w:szCs w:val="36"/>
        </w:rPr>
        <w:t>.</w:t>
      </w:r>
      <w:r>
        <w:rPr>
          <w:rFonts w:cs="Traditional Arabic"/>
          <w:color w:val="000000"/>
          <w:sz w:val="36"/>
          <w:szCs w:val="36"/>
        </w:rPr>
        <w:br/>
        <w:t xml:space="preserve">1- </w:t>
      </w:r>
      <w:r>
        <w:rPr>
          <w:rFonts w:cs="Traditional Arabic"/>
          <w:color w:val="000000"/>
          <w:sz w:val="36"/>
          <w:szCs w:val="36"/>
          <w:rtl/>
        </w:rPr>
        <w:t>مدخــــل إلى البنيـــوية</w:t>
      </w:r>
      <w:r>
        <w:rPr>
          <w:rFonts w:cs="Traditional Arabic"/>
          <w:color w:val="000000"/>
          <w:sz w:val="36"/>
          <w:szCs w:val="36"/>
        </w:rPr>
        <w:t>: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>البنيوية طريقة وصفية في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قراءة النص الأدبي تستند إلى خطوتين أساسيتين وهما: التفكيك والتركيب ، كما أنها لا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تهتم بالمضمون المباشر، بل تركز على شكل المضمون وعناصره وبناه التي تشكل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نسقية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النص في اختلافاته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وتآلفاته</w:t>
      </w:r>
      <w:proofErr w:type="spellEnd"/>
      <w:r>
        <w:rPr>
          <w:rFonts w:cs="Traditional Arabic"/>
          <w:color w:val="000000"/>
          <w:sz w:val="36"/>
          <w:szCs w:val="36"/>
          <w:rtl/>
        </w:rPr>
        <w:t>. ويعني هذا أن النص عبارة عن لعبة الاختلافات ونسق من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العناصر البنيوية التي تتفاعل فيما بينها وظيفيا داخل نظام ثابت من العلاقات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والظواهر التي تتطلب الرصد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المحايث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والتحليل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السانكروني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الواصف من خلال الهدم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والبناء أو تفكيك النص الأدبي إلى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تمفصلاته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الشكلية وإعادة تركيبها من أجل معرفة</w:t>
      </w:r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ميكانيزمات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النص ومولداته البنيوية العميقة قصد فهم طريقة بناء النص الأدبي. ومن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هنا، يمكن القول : إن البنيوية منهجية ونشاط وقراءة وتصور فلسفي يقصي الخارج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والتاريخ والإنسان وكل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ماهو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مرجعي وواقعي ، </w:t>
      </w:r>
      <w:r>
        <w:rPr>
          <w:rFonts w:cs="Traditional Arabic"/>
          <w:color w:val="000000"/>
          <w:sz w:val="36"/>
          <w:szCs w:val="36"/>
          <w:rtl/>
        </w:rPr>
        <w:lastRenderedPageBreak/>
        <w:t xml:space="preserve">ويركز فقط على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ماهو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لغوي و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يستقرىء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الدوال الداخلية للنص دون الانفتاح على الظروف السياقية الخارجية التي قد تكون قد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أفرزت هذا النص من قريب أو من بعيد</w:t>
      </w:r>
      <w:r>
        <w:rPr>
          <w:rFonts w:cs="Traditional Arabic"/>
          <w:color w:val="000000"/>
          <w:sz w:val="36"/>
          <w:szCs w:val="36"/>
        </w:rPr>
        <w:t>.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>والبنيوية أنواع: فهناك البنيوية اللسانية،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 البنيوية السردية</w:t>
      </w:r>
      <w:proofErr w:type="spellStart"/>
      <w:r>
        <w:rPr>
          <w:rFonts w:cs="Traditional Arabic"/>
          <w:color w:val="000000"/>
          <w:sz w:val="36"/>
          <w:szCs w:val="36"/>
        </w:rPr>
        <w:t>Narratologie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، والبنيوية الأسلوبية</w:t>
      </w:r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</w:rPr>
        <w:t>stylistique</w:t>
      </w:r>
      <w:proofErr w:type="spellEnd"/>
      <w:r>
        <w:rPr>
          <w:rFonts w:cs="Traditional Arabic"/>
          <w:color w:val="000000"/>
          <w:sz w:val="36"/>
          <w:szCs w:val="36"/>
          <w:rtl/>
        </w:rPr>
        <w:t>، وبنيوية الشعر،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والبنيوية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الدراماتورجية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أو المسرحية</w:t>
      </w:r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</w:rPr>
        <w:t>Dramaturgie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، والبنيوية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السيميوطيقية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>،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والبنيوية النفسية مع جاك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لاكان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وشارل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مورون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، والبنيوية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الأنتروبولوجية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خاصة مع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زعيمها كلود ليڤي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شتروس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الفرنسي وفلاديمير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بروب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الروسي… وتتعارض المنهجية البنيوية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مع المناهج الخارجية كالمنهج النفسي والمنهج الاجتماعي والمنهج التاريخي والمنهج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البنيوي التكويني الذي ينفتح على المرجع السياسي والاقتصادي والاجتماعي والتاريخي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من خلال ثنائية الفهم والتفسير قصد تحديد البنية الدالة والرؤية للعالم</w:t>
      </w:r>
      <w:r>
        <w:rPr>
          <w:rFonts w:cs="Traditional Arabic"/>
          <w:color w:val="000000"/>
          <w:sz w:val="36"/>
          <w:szCs w:val="36"/>
        </w:rPr>
        <w:t>.</w:t>
      </w:r>
      <w:r>
        <w:rPr>
          <w:rFonts w:cs="Traditional Arabic"/>
          <w:color w:val="000000"/>
          <w:sz w:val="36"/>
          <w:szCs w:val="36"/>
        </w:rPr>
        <w:br/>
        <w:t xml:space="preserve">2- </w:t>
      </w:r>
      <w:r>
        <w:rPr>
          <w:rFonts w:cs="Traditional Arabic"/>
          <w:color w:val="000000"/>
          <w:sz w:val="36"/>
          <w:szCs w:val="36"/>
          <w:rtl/>
        </w:rPr>
        <w:t>البنيوية في العالمين: الغربي و العربي</w:t>
      </w:r>
      <w:r>
        <w:rPr>
          <w:rFonts w:cs="Traditional Arabic"/>
          <w:color w:val="000000"/>
          <w:sz w:val="36"/>
          <w:szCs w:val="36"/>
        </w:rPr>
        <w:t>: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>يعد كتاب</w:t>
      </w:r>
      <w:r>
        <w:rPr>
          <w:rFonts w:cs="Traditional Arabic"/>
          <w:color w:val="000000"/>
          <w:sz w:val="36"/>
          <w:szCs w:val="36"/>
        </w:rPr>
        <w:t xml:space="preserve"> Ferdinand de Saussure </w:t>
      </w:r>
      <w:r>
        <w:rPr>
          <w:rFonts w:cs="Traditional Arabic"/>
          <w:color w:val="000000"/>
          <w:sz w:val="36"/>
          <w:szCs w:val="36"/>
          <w:rtl/>
        </w:rPr>
        <w:t xml:space="preserve">فرديناند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دوسوسير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"محاضرات في اللسانيات العامة" الذي ظهر سنة 1916م أول مصدر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للبنيوية في الثقافة الغربية، ذلك أن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سوسير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اعتبر اللغة نسقا من العناصر بينها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تفاعلات وظيفية وصفية. وحدد للمنهجية البنيوية مرتكزات أساسية كاللغة والكلام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واللسان، والدال والمدلول،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والسانكرونية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والدياكرونية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>، والمحور الأفقي والمحور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التركيبي، والتقرير والإيحاء، والمستويات اللغوية من صوتية وصرفية وتركيبية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ودلالية</w:t>
      </w:r>
      <w:r>
        <w:rPr>
          <w:rFonts w:cs="Traditional Arabic"/>
          <w:color w:val="000000"/>
          <w:sz w:val="36"/>
          <w:szCs w:val="36"/>
        </w:rPr>
        <w:t>…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 xml:space="preserve">وقد تفرعت البنيوية اللسانية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السوسورية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إلى مدارس لسانية كالوظيفية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الوصفية مع أندري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مارتيني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</w:rPr>
        <w:t>A.Martinet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ورومان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جاكبسون</w:t>
      </w:r>
      <w:r>
        <w:rPr>
          <w:rFonts w:cs="Traditional Arabic"/>
          <w:color w:val="000000"/>
          <w:sz w:val="36"/>
          <w:szCs w:val="36"/>
        </w:rPr>
        <w:t>R.Jakobson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وتروبوتسكوي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</w:rPr>
        <w:t>Troubetzkoy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وكو</w:t>
      </w:r>
      <w:proofErr w:type="spellEnd"/>
      <w:r>
        <w:rPr>
          <w:rFonts w:cs="Traditional Arabic"/>
          <w:color w:val="000000"/>
          <w:sz w:val="36"/>
          <w:szCs w:val="36"/>
          <w:rtl/>
        </w:rPr>
        <w:t>گ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نهايم</w:t>
      </w:r>
      <w:proofErr w:type="spellEnd"/>
      <w:r>
        <w:rPr>
          <w:rFonts w:cs="Traditional Arabic"/>
          <w:color w:val="000000"/>
          <w:sz w:val="36"/>
          <w:szCs w:val="36"/>
          <w:rtl/>
        </w:rPr>
        <w:t>، ،والگ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لوسيماتيمكية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مع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هلمسليف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</w:rPr>
        <w:t>Hjelmslev</w:t>
      </w:r>
      <w:proofErr w:type="spellEnd"/>
      <w:r>
        <w:rPr>
          <w:rFonts w:cs="Traditional Arabic"/>
          <w:color w:val="000000"/>
          <w:sz w:val="36"/>
          <w:szCs w:val="36"/>
          <w:rtl/>
        </w:rPr>
        <w:t>، والتوزيعية مع</w:t>
      </w:r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بلومفيلد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Bloomfield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وهاريس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Harris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وهوكيت</w:t>
      </w:r>
      <w:r>
        <w:rPr>
          <w:rFonts w:cs="Traditional Arabic"/>
          <w:color w:val="000000"/>
          <w:sz w:val="36"/>
          <w:szCs w:val="36"/>
        </w:rPr>
        <w:t>Hockett</w:t>
      </w:r>
      <w:proofErr w:type="spellEnd"/>
      <w:r>
        <w:rPr>
          <w:rFonts w:cs="Traditional Arabic"/>
          <w:color w:val="000000"/>
          <w:sz w:val="36"/>
          <w:szCs w:val="36"/>
        </w:rPr>
        <w:t>…</w:t>
      </w:r>
      <w:r>
        <w:rPr>
          <w:rFonts w:cs="Traditional Arabic"/>
          <w:color w:val="000000"/>
          <w:sz w:val="36"/>
          <w:szCs w:val="36"/>
          <w:rtl/>
        </w:rPr>
        <w:t xml:space="preserve">لتنتقل البنيوية مع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نوام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شومسكي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Chomsky </w:t>
      </w:r>
      <w:r>
        <w:rPr>
          <w:rFonts w:cs="Traditional Arabic"/>
          <w:color w:val="000000"/>
          <w:sz w:val="36"/>
          <w:szCs w:val="36"/>
          <w:rtl/>
        </w:rPr>
        <w:t>إلى بنيوية تفسيرية تربط السطح بالعمق عن طريق التأويل</w:t>
      </w:r>
      <w:r>
        <w:rPr>
          <w:rFonts w:cs="Traditional Arabic"/>
          <w:color w:val="000000"/>
          <w:sz w:val="36"/>
          <w:szCs w:val="36"/>
        </w:rPr>
        <w:t>.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>وأول من طبق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البنيوية اللسانية على النص الأدبي في الثقافة الغربية نذكر كلا من رومان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جاكبسون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وكلود ليفي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شتروس</w:t>
      </w:r>
      <w:r>
        <w:rPr>
          <w:rFonts w:cs="Traditional Arabic"/>
          <w:color w:val="000000"/>
          <w:sz w:val="36"/>
          <w:szCs w:val="36"/>
        </w:rPr>
        <w:t>Lévi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- Strauss </w:t>
      </w:r>
      <w:r>
        <w:rPr>
          <w:rFonts w:cs="Traditional Arabic"/>
          <w:color w:val="000000"/>
          <w:sz w:val="36"/>
          <w:szCs w:val="36"/>
          <w:rtl/>
        </w:rPr>
        <w:t xml:space="preserve">على قصيدة " القطط " </w:t>
      </w:r>
      <w:r>
        <w:rPr>
          <w:rFonts w:cs="Traditional Arabic"/>
          <w:color w:val="000000"/>
          <w:sz w:val="36"/>
          <w:szCs w:val="36"/>
          <w:rtl/>
        </w:rPr>
        <w:lastRenderedPageBreak/>
        <w:t>للشاعر الفرنسي</w:t>
      </w:r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بودلير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Baudelaire </w:t>
      </w:r>
      <w:r>
        <w:rPr>
          <w:rFonts w:cs="Traditional Arabic"/>
          <w:color w:val="000000"/>
          <w:sz w:val="36"/>
          <w:szCs w:val="36"/>
          <w:rtl/>
        </w:rPr>
        <w:t>في منتصف الخمسينيات. وبعد ذلك ستطبق البنيوية على السرد مع رولان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بارت</w:t>
      </w:r>
      <w:r>
        <w:rPr>
          <w:rFonts w:cs="Traditional Arabic"/>
          <w:color w:val="000000"/>
          <w:sz w:val="36"/>
          <w:szCs w:val="36"/>
        </w:rPr>
        <w:t xml:space="preserve"> Barthes </w:t>
      </w:r>
      <w:r>
        <w:rPr>
          <w:rFonts w:cs="Traditional Arabic"/>
          <w:color w:val="000000"/>
          <w:sz w:val="36"/>
          <w:szCs w:val="36"/>
          <w:rtl/>
        </w:rPr>
        <w:t xml:space="preserve">وكلود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بريموند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Bremond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وتزيطيفان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تودوروف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</w:rPr>
        <w:t>Todorov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وجيرار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جنيت</w:t>
      </w:r>
      <w:proofErr w:type="spellStart"/>
      <w:r>
        <w:rPr>
          <w:rFonts w:cs="Traditional Arabic"/>
          <w:color w:val="000000"/>
          <w:sz w:val="36"/>
          <w:szCs w:val="36"/>
        </w:rPr>
        <w:t>Genette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وگ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ريماس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</w:rPr>
        <w:t>Gremas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… </w:t>
      </w:r>
      <w:r>
        <w:rPr>
          <w:rFonts w:cs="Traditional Arabic"/>
          <w:color w:val="000000"/>
          <w:sz w:val="36"/>
          <w:szCs w:val="36"/>
          <w:rtl/>
        </w:rPr>
        <w:t xml:space="preserve">كما ستتوسع ليدرس الأسلوب بنيويا وإحصائيا مع بيير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غيرو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</w:rPr>
        <w:t>Guiraud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دون أن ننسى التطبيقات البنيوية على السينما والتشكيل والسينما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والموسيقا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والفنون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والخطابات الأخرى</w:t>
      </w:r>
      <w:r>
        <w:rPr>
          <w:rFonts w:cs="Traditional Arabic"/>
          <w:color w:val="000000"/>
          <w:sz w:val="36"/>
          <w:szCs w:val="36"/>
        </w:rPr>
        <w:t>.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>ولم تظهر البنيوية في الساحة الثقافية العربية إلا في أواخر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الستينيات وبداية السبعينيات عبر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المثاقفة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والترجمة والتبادل الثقافي والتعلم في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جامعات أوربا. وكانت بداية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تمظهر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البنيوية في عالمنا العربي في شكل كتب مترجمة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ومؤلفات تعريفية للبنيوية، لتصبح بعد ذلك منهجية تطبق في الدراسات النقدية والرسائل</w:t>
      </w:r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والأطاريح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الجامعية</w:t>
      </w:r>
      <w:r>
        <w:rPr>
          <w:rFonts w:cs="Traditional Arabic"/>
          <w:color w:val="000000"/>
          <w:sz w:val="36"/>
          <w:szCs w:val="36"/>
        </w:rPr>
        <w:t>.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 xml:space="preserve">ويمكن اعتبار الدول العربية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الفرانكوفونية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هي السباقة إلى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تطبيق البنيوية وخاصة دول المغرب العربي ولبنان وسوريا ، لتتبعها مصر ودول الخليج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العربي. ومن أهم البنيويين العرب في مجال النقد بكل أنواعه: حسين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الواد</w:t>
      </w:r>
      <w:proofErr w:type="spellEnd"/>
      <w:r>
        <w:rPr>
          <w:rFonts w:cs="Traditional Arabic"/>
          <w:color w:val="000000"/>
          <w:sz w:val="36"/>
          <w:szCs w:val="36"/>
          <w:rtl/>
        </w:rPr>
        <w:t>، وعبد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السلام المسدي ، وجمال الدين بن الشيخ، وعبد الفتاح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كليطو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، وعبد الكبير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الخطيبي</w:t>
      </w:r>
      <w:proofErr w:type="spellEnd"/>
      <w:r>
        <w:rPr>
          <w:rFonts w:cs="Traditional Arabic"/>
          <w:color w:val="000000"/>
          <w:sz w:val="36"/>
          <w:szCs w:val="36"/>
          <w:rtl/>
        </w:rPr>
        <w:t>،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ومحمد بنيس، ومحمد مفتاح، ومحمد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الحناش</w:t>
      </w:r>
      <w:proofErr w:type="spellEnd"/>
      <w:r>
        <w:rPr>
          <w:rFonts w:cs="Traditional Arabic"/>
          <w:color w:val="000000"/>
          <w:sz w:val="36"/>
          <w:szCs w:val="36"/>
          <w:rtl/>
        </w:rPr>
        <w:t>، وموريس أبو ناضر، وجميل شاكر، وسمير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المرزوقي، وصلاح فضل، وفؤاد زكريا، وعبد الله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الغذامي</w:t>
      </w:r>
      <w:proofErr w:type="spellEnd"/>
      <w:r>
        <w:rPr>
          <w:rFonts w:cs="Traditional Arabic"/>
          <w:color w:val="000000"/>
          <w:sz w:val="36"/>
          <w:szCs w:val="36"/>
        </w:rPr>
        <w:t>…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>ومن أهم الكتب النقدية في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مجال البنيوية العربية نستحضر "الأدب والغرابة " لعبد الفتاح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كليطو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.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فماهي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القضايا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النقدية التي يستجمعها الكتاب؟ وما منهجيته النقدية؟ وما مرجعياته النظرية</w:t>
      </w:r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ومصطلحاته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الإجرائية؟ وما هي أهم الانتقادات الموجهة إلى الكتاب؟</w:t>
      </w:r>
      <w:r>
        <w:rPr>
          <w:rFonts w:cs="Traditional Arabic"/>
          <w:color w:val="000000"/>
          <w:sz w:val="36"/>
          <w:szCs w:val="36"/>
        </w:rPr>
        <w:br/>
        <w:t xml:space="preserve">3- </w:t>
      </w:r>
      <w:r>
        <w:rPr>
          <w:rFonts w:cs="Traditional Arabic"/>
          <w:color w:val="000000"/>
          <w:sz w:val="36"/>
          <w:szCs w:val="36"/>
          <w:rtl/>
        </w:rPr>
        <w:t>القضايا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النقدية في كتاب الأدب والغرابة</w:t>
      </w:r>
      <w:r>
        <w:rPr>
          <w:rFonts w:cs="Traditional Arabic"/>
          <w:color w:val="000000"/>
          <w:sz w:val="36"/>
          <w:szCs w:val="36"/>
        </w:rPr>
        <w:t xml:space="preserve"> :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>يمكن تقسم كتاب "الأدب والغرابة" لعبد الفتاح</w:t>
      </w:r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كيليطو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إلى قسمين: قسم خاص بشرح المفاهيم المتعلقة بالأدب وأجناسه، وقسم تطبيقي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يستهدف رصد المظاهر البنيوية للثقافة العربية الكلاسيكية. ويندرج القسم التطبيقي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ضمن قضية التجنيس وتحديد القواعد الثابتة والمتغيرة لكل جنس أدبي على حدة مع دراسة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بعض المكونات </w:t>
      </w:r>
      <w:r>
        <w:rPr>
          <w:rFonts w:cs="Traditional Arabic"/>
          <w:color w:val="000000"/>
          <w:sz w:val="36"/>
          <w:szCs w:val="36"/>
          <w:rtl/>
        </w:rPr>
        <w:lastRenderedPageBreak/>
        <w:t>السردية في هذه الثقافة الموروثة</w:t>
      </w:r>
      <w:r>
        <w:rPr>
          <w:rFonts w:cs="Traditional Arabic"/>
          <w:color w:val="000000"/>
          <w:sz w:val="36"/>
          <w:szCs w:val="36"/>
        </w:rPr>
        <w:t>.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>ومن المفاهيم التي انكب عليها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الدارس نذكر مفهوم النص والأدب والجنس والسرد والوحدة العضوية ومفهوم الغرابة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ومفهوم الشاعر ومفهوم المرآة والفرد المبدع وتاريخ الأدب والفرق بين الشعر والنثر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والقارئ المتلقي</w:t>
      </w:r>
      <w:r>
        <w:rPr>
          <w:rFonts w:cs="Traditional Arabic"/>
          <w:color w:val="000000"/>
          <w:sz w:val="36"/>
          <w:szCs w:val="36"/>
        </w:rPr>
        <w:t>.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 xml:space="preserve">وفي القسم الثاني يدرس عبد الفتاح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كيليطو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جنس المقامة الأدبية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عند الحريري والمقامة الأخلاقية عند عبد القاهر الجرجاني وشخصية المقامة النمطية ،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والغرابة والألفة في البلاغة العربية من خلال ثنائية المجاز والاستعارة، بله عن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إشكالية النظم والشعر وشعرية الفضاء في حكاية سندباد. . أ‌- قســــــــم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المفاهيم</w:t>
      </w:r>
      <w:r>
        <w:rPr>
          <w:rFonts w:cs="Traditional Arabic"/>
          <w:color w:val="000000"/>
          <w:sz w:val="36"/>
          <w:szCs w:val="36"/>
        </w:rPr>
        <w:t>: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 xml:space="preserve">ينطلق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كليطو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في تعريفه للنص بمقارنته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باللانص</w:t>
      </w:r>
      <w:proofErr w:type="spellEnd"/>
      <w:r>
        <w:rPr>
          <w:rFonts w:cs="Traditional Arabic"/>
          <w:color w:val="000000"/>
          <w:sz w:val="36"/>
          <w:szCs w:val="36"/>
          <w:rtl/>
        </w:rPr>
        <w:t>، حيث يتميز النص عن</w:t>
      </w:r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اللانص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بالثقافة والنظام والغموض والغرابة والتدوين والكتابة والحفظ والاستشهاد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ونسبته إلى كاتب مشهود له بالحجية والشهرة فضلا عن وظيفته التعليمية والتربوية. أما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الأدب فيجد الكاتب صعوبة في تعريفه على الرغم من وجاهة تعريف رومان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جاكبسون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عندما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ربط الأدب بوظائفه الست، إلا أن هذا التعريف قاصر مادام ليس هناك نظرية عامة وشاملة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لكل النصوص والخطابات. أما تاريخ الأدب العربي فيتخذ طابعا دينيا أخلاقيا مختلفا عن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نظيره الأوربي الذي كان يجمع بين عدة نصوص مختلفة الخطابات والأجناس الأدبية داخل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وحدة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أجناسية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منصهرة إبان الرومانسية التي أعطت قيمة كبرى لفن الرواية بعد أن كان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في أسفل الأجناس الأدبية مع التيار الكلاسيكي</w:t>
      </w:r>
      <w:r>
        <w:rPr>
          <w:rFonts w:cs="Traditional Arabic"/>
          <w:color w:val="000000"/>
          <w:sz w:val="36"/>
          <w:szCs w:val="36"/>
        </w:rPr>
        <w:t>.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>و في مجال الأجناس الأدبية، يعرف</w:t>
      </w:r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كليطو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الجنس الأدبي بأنه هو الذي يحترم مجموعة من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Style w:val="highlight1"/>
          <w:b/>
          <w:bCs/>
          <w:rtl/>
        </w:rPr>
        <w:t>المعايير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والقواعد الثابتة المتكررة ولاسيما الرئيسية منها</w:t>
      </w:r>
      <w:r>
        <w:rPr>
          <w:rFonts w:cs="Traditional Arabic"/>
          <w:color w:val="000000"/>
          <w:sz w:val="36"/>
          <w:szCs w:val="36"/>
        </w:rPr>
        <w:t xml:space="preserve">. </w:t>
      </w:r>
      <w:r>
        <w:rPr>
          <w:rFonts w:cs="Traditional Arabic"/>
          <w:color w:val="000000"/>
          <w:sz w:val="36"/>
          <w:szCs w:val="36"/>
          <w:rtl/>
        </w:rPr>
        <w:t xml:space="preserve">ومن ثم وضع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تيبولوجية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أجناسية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على النحو التالي: 1- المتكلم يتحدث باسمه: الرسائل،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 الخطب، و العديد من الأنواع الشعرية التقليدية… 2- المتكلم يروي لغيره: الحديث،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كتب الأخبار… 3- المتكلم ينسب لنفسه خطابا لغيره. 4- المتكلم ينسب لغيره خطابا يكون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هو منشئه كما فعل خلف الأحمر عندما نسب قصيدته لامية العرب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للشنفرى</w:t>
      </w:r>
      <w:proofErr w:type="spellEnd"/>
      <w:r>
        <w:rPr>
          <w:rFonts w:cs="Traditional Arabic"/>
          <w:color w:val="000000"/>
          <w:sz w:val="36"/>
          <w:szCs w:val="36"/>
          <w:rtl/>
        </w:rPr>
        <w:t>. إذاً، هناك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نمطان خطابيان: الخطاب الشخصي والخطاب المروي</w:t>
      </w:r>
      <w:r>
        <w:rPr>
          <w:rFonts w:cs="Traditional Arabic"/>
          <w:color w:val="000000"/>
          <w:sz w:val="36"/>
          <w:szCs w:val="36"/>
        </w:rPr>
        <w:t>.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 xml:space="preserve">وفي مجال السرد ، يرى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كليطو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أن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نظرية فلاديمير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بروب</w:t>
      </w:r>
      <w:r>
        <w:rPr>
          <w:rFonts w:cs="Traditional Arabic"/>
          <w:color w:val="000000"/>
          <w:sz w:val="36"/>
          <w:szCs w:val="36"/>
        </w:rPr>
        <w:t>V.Propp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مهمة في مقاربة </w:t>
      </w:r>
      <w:r>
        <w:rPr>
          <w:rFonts w:cs="Traditional Arabic"/>
          <w:color w:val="000000"/>
          <w:sz w:val="36"/>
          <w:szCs w:val="36"/>
          <w:rtl/>
        </w:rPr>
        <w:lastRenderedPageBreak/>
        <w:t>الحكاية والنصوص السردية بصفة عامة،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مبينا أن السرد مجموعة من الأحداث والوظائف التي تنتظم في متتاليات سردية خاضعة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لمنطق الإمكانيات التي تحدث عنها كلود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بريموند</w:t>
      </w:r>
      <w:proofErr w:type="spellEnd"/>
      <w:r>
        <w:rPr>
          <w:rFonts w:cs="Traditional Arabic"/>
          <w:color w:val="000000"/>
          <w:sz w:val="36"/>
          <w:szCs w:val="36"/>
          <w:rtl/>
        </w:rPr>
        <w:t>. وهذا السرد يخضع لنوعين من التسلسل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وهما: الترتيب المنطقي والترتيب الزمني التعاقبي. كما بين أن هناك نوعين من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القراءة: عمودية وأفقية، وأن السرد على العموم يخضع لقواعد ثلاثة، وهي: ارتباط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اللاحق بالسابق، وارتباط تسلسل الأحداث بنوع الحكاية، ومراعاة أفق الاحتمال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والعرف</w:t>
      </w:r>
      <w:r>
        <w:rPr>
          <w:rFonts w:cs="Traditional Arabic"/>
          <w:color w:val="000000"/>
          <w:sz w:val="36"/>
          <w:szCs w:val="36"/>
        </w:rPr>
        <w:t>.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 xml:space="preserve">وقد لاحظ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كليطو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أن الأدب الكلاسيكي يرتكز على المبدعين الفطاحل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والمشهورين والقمم الشعرية المتميزة دون المغمورين منهم. كما يؤاخذ المنهج</w:t>
      </w:r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البيوغرافي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الذي ظهر في القرن التاسع عشر والذي كان يدرس حياة المبدع من خلال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إنتاجه وعصره عبر أربعة ثوابت منهجية: الحياة السياسية والحياة الاقتصادية والحياة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الاجتماعية و الحياة الثقافية. وكان هذا التصور المنهجي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البيوغرافي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والانعكاسي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للأدب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لايربط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النصوص بمكونات النص الداخلية وعناصره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التجنيسية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>. كما ينتقل إلى إثارة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قضية تلقي النصوص القديمة بتصورات حديثة دون مراعاة النص القديم وسياقه الخاص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به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كما يتجلى ذلك واضحا في التعامل مع قضية الوحدة العضوية في الشعر القديم بين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الدارسين العرب والمستشرقين</w:t>
      </w:r>
      <w:r>
        <w:rPr>
          <w:rFonts w:cs="Traditional Arabic"/>
          <w:color w:val="000000"/>
          <w:sz w:val="36"/>
          <w:szCs w:val="36"/>
        </w:rPr>
        <w:t>.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 xml:space="preserve">وقد حدد الكاتب تصورا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دياكرونيا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لطبيعة الشاعر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ووظيفته في المجتمع العربي القديم وحصر الوظائف التالية: 1- شاعر القبيلة في الشعر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الجاهلي؛ 2- شاعر الانتماء العقائدي في العصرين: الإسلامي والأموي؛ 3- شاعر الكدية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والاستجداء في العصر العباسي</w:t>
      </w:r>
      <w:r>
        <w:rPr>
          <w:rFonts w:cs="Traditional Arabic"/>
          <w:color w:val="000000"/>
          <w:sz w:val="36"/>
          <w:szCs w:val="36"/>
        </w:rPr>
        <w:t>.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>ب‌- القسم التطبيقي</w:t>
      </w:r>
      <w:r>
        <w:rPr>
          <w:rFonts w:cs="Traditional Arabic"/>
          <w:color w:val="000000"/>
          <w:sz w:val="36"/>
          <w:szCs w:val="36"/>
        </w:rPr>
        <w:t>: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>في هذا القسم، يتناول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الكاتب البلاغة العربية بالدرس والتحليل ليبين لنا بأن البلاغة العربية تهدف إلى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تفسير القرآن الكريم وأنها تدور حوله شرحا وتبيانا لأوجه إعجازه، بينما البلاغة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اليونانية كانت تهدف إلى إنتاج القواعد لتسليح المتكلم بناصية الفصاحة والبلاغة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لإفحام خصومه كما كان يفعل السفسطائيون مع مخاطبيهم. وخضعت البلاغة العربية لعدة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تقسيمات وتفريعات و خضعت لمنطق النضج والركود والقوة والكساد. </w:t>
      </w:r>
      <w:r>
        <w:rPr>
          <w:rFonts w:cs="Traditional Arabic"/>
          <w:color w:val="000000"/>
          <w:sz w:val="36"/>
          <w:szCs w:val="36"/>
          <w:rtl/>
        </w:rPr>
        <w:lastRenderedPageBreak/>
        <w:t>وقد كانت البلاغة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العربية في مسارها البياني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والتأليفي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بلاغة إبهام وتعمية وتمويه وإغراب. ويعني هذا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أن الصور الشعرية وخاصة الاستعارة والمجاز كانت تقوم على ثنائية الغرابة والألفة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والانزياح</w:t>
      </w:r>
      <w:r>
        <w:rPr>
          <w:rFonts w:cs="Traditional Arabic"/>
          <w:color w:val="000000"/>
          <w:sz w:val="36"/>
          <w:szCs w:val="36"/>
        </w:rPr>
        <w:t>.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>وإذا كانت شخصيات كتب التاريخ والحديث والأخبار شخصيات بشرية فردية،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فإن شخصيات المقامات وخاصة مقامات الحريري ﴿الحارث بن همام وأبو زيد السروجي﴾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شخصيات نمطية إنسانية ترمز إلى قيم إنسانية عدة ، لذلك فهي شخصيات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براقشية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تتلون في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صفاتها حسب السياقات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المقامية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كشخصيات الشعر العربي القديم﴿سلمى، هند،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دعد</w:t>
      </w:r>
      <w:proofErr w:type="spellEnd"/>
      <w:r>
        <w:rPr>
          <w:rFonts w:cs="Traditional Arabic"/>
          <w:color w:val="000000"/>
          <w:sz w:val="36"/>
          <w:szCs w:val="36"/>
          <w:rtl/>
        </w:rPr>
        <w:t>،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خولة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>،</w:t>
      </w:r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مية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، سعاد….﴾. كما تتسم المعاني في الثقافة العربية الكلاسيكية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بالوثوقية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والمطلقية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وعدم الابتذال على الرغم من وجود ظاهرة التكرار والاجترار المعاد . والسبب في ذلك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أن هذه المعاني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لاتتغير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بسرعة كما في العصر الحديث إذ تتبدل مدارسها واتجاهاتها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الأدبية بنحو سريع. و تمتاز المعاني في الثقافة الكلاسيكية أيضا بسمة الاستشهاد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والإحالة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التناصية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والتضمين وذلك من أجل تعضيد النص وتوثيق معانيه</w:t>
      </w:r>
      <w:r>
        <w:rPr>
          <w:rFonts w:cs="Traditional Arabic"/>
          <w:color w:val="000000"/>
          <w:sz w:val="36"/>
          <w:szCs w:val="36"/>
        </w:rPr>
        <w:t>.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>وإذا كان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تجنيس المقامة يخضع لمجموعة من الثوابت كالسند، والسفر، ونمطين إنسانيين متناقضين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وهما: الأديب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والمكدي</w:t>
      </w:r>
      <w:proofErr w:type="spellEnd"/>
      <w:r>
        <w:rPr>
          <w:rFonts w:cs="Traditional Arabic"/>
          <w:color w:val="000000"/>
          <w:sz w:val="36"/>
          <w:szCs w:val="36"/>
          <w:rtl/>
        </w:rPr>
        <w:t>، وحكاية قائمة على التعرف، ولغة بديعية منمقة ، وتعاقب الهزل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والجد،فإن مقامة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الزمخشري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تستند إلى لغة الجد الأخلاقي والديني ووازع الحلم ولغة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البديع وثنائية الترغيب والترهيب</w:t>
      </w:r>
      <w:r>
        <w:rPr>
          <w:rFonts w:cs="Traditional Arabic"/>
          <w:color w:val="000000"/>
          <w:sz w:val="36"/>
          <w:szCs w:val="36"/>
        </w:rPr>
        <w:t>.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>وفي مبحث "الملح والنحو" يميز الدارس بين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النظم والشعر من خلال دراسة أرجوزة الحريري وهي ملحمة الإعراب، وذلك بالتركيز على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الوظيفة الشعرية والأدبية للنصين معا: النظم والشعر. وبعد ذلك ينتقل الكاتب لدراسة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القواعد اللسانية لخطاب المنظومة النحوية ذات الطابع التعليمي التربوي من أجل تبيان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علاقتها بالمتلقي من خلال استخدام المرسل للحشو والأمر. ويتوجه فيها الخطاب إلى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السامع من شيخ متسلط مسيطر على مخاطبه، كما أن هذا المتكلم حجة و عالم متبحر في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النحو يرسل خطابه إلى مستمع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مذكرمبتدىء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، وهذا الخطاب ممزوج بالأوامر والنواهي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والعلوم والآداب في شكل الصيغة المعروفة" قل ولا تقل" مع إظهار التودد إلى المتلقي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و إبداء </w:t>
      </w:r>
      <w:r>
        <w:rPr>
          <w:rFonts w:cs="Traditional Arabic"/>
          <w:color w:val="000000"/>
          <w:sz w:val="36"/>
          <w:szCs w:val="36"/>
          <w:rtl/>
        </w:rPr>
        <w:lastRenderedPageBreak/>
        <w:t>تواضع العلماء في حالة اقتناص الأخطاء من قبل السامع النابه</w:t>
      </w:r>
      <w:r>
        <w:rPr>
          <w:rFonts w:cs="Traditional Arabic"/>
          <w:color w:val="000000"/>
          <w:sz w:val="36"/>
          <w:szCs w:val="36"/>
        </w:rPr>
        <w:t xml:space="preserve"> .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>وفي " نحن</w:t>
      </w:r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والسندباد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" يتعرض الواصف لجدلية الفضاء داخل قصة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السندباد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التي أوردها كتاب ألف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ليلة وليلة حيث يتقاطع في الحكاية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ماهو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علوي وسفلي، و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ماهو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أفقي وعمودي،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وماهو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بر ي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وبحري. كما يجسد تقابلا بين السماء والأرض، وبين الألفة والغرابة، وبين الحار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والبارد، وبين فضاء السعادة وفضاء الشقاء. وتقيم الحكاية أيضا مقايضة بين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الحكي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والاستماع ، ومقارنة بين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السندباد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الأرضي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والسندباد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البحري. وتعد ثنائية السفر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والغرابة ﴿الإيهام والإبهام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والتخييل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الفانطاستيكي</w:t>
      </w:r>
      <w:proofErr w:type="spellEnd"/>
      <w:r>
        <w:rPr>
          <w:rFonts w:cs="Traditional Arabic"/>
          <w:color w:val="000000"/>
          <w:sz w:val="36"/>
          <w:szCs w:val="36"/>
          <w:rtl/>
        </w:rPr>
        <w:t>﴾ من أهم مكونات الحكاية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السندبادية</w:t>
      </w:r>
      <w:r>
        <w:rPr>
          <w:rFonts w:cs="Traditional Arabic"/>
          <w:color w:val="000000"/>
          <w:sz w:val="36"/>
          <w:szCs w:val="36"/>
        </w:rPr>
        <w:t>.</w:t>
      </w:r>
      <w:r>
        <w:rPr>
          <w:rFonts w:cs="Traditional Arabic"/>
          <w:color w:val="000000"/>
          <w:sz w:val="36"/>
          <w:szCs w:val="36"/>
        </w:rPr>
        <w:br/>
        <w:t xml:space="preserve">4- </w:t>
      </w:r>
      <w:r>
        <w:rPr>
          <w:rFonts w:cs="Traditional Arabic"/>
          <w:color w:val="000000"/>
          <w:sz w:val="36"/>
          <w:szCs w:val="36"/>
          <w:rtl/>
        </w:rPr>
        <w:t>المنهج النقـــدي في الكتاب</w:t>
      </w:r>
      <w:r>
        <w:rPr>
          <w:rFonts w:cs="Traditional Arabic"/>
          <w:color w:val="000000"/>
          <w:sz w:val="36"/>
          <w:szCs w:val="36"/>
        </w:rPr>
        <w:t>: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>من خلال عنوان كتاب" الأدب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والغرابة" لعبد الفتاح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كيليطو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نجد عنوانا فرعيا" دراسات بنيوية في الأدب العربي"، و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هنا أفتح قوسا لأثبت بأني أعتمد هنا على طبعة دار الطليعة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البيروتية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التي نشرت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الكتاب لأول مرة سنة1982م. ومدلول هذا التعيين الجنسي أن الباحث يطبق المنهج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البنيوي في هذه الدراسات التي كانت في الأصل مقالات أعدت مابين 1975و</w:t>
      </w:r>
      <w:r>
        <w:rPr>
          <w:rFonts w:cs="Traditional Arabic"/>
          <w:color w:val="000000"/>
          <w:sz w:val="36"/>
          <w:szCs w:val="36"/>
        </w:rPr>
        <w:t xml:space="preserve"> 1980</w:t>
      </w:r>
      <w:r>
        <w:rPr>
          <w:rFonts w:cs="Traditional Arabic"/>
          <w:color w:val="000000"/>
          <w:sz w:val="36"/>
          <w:szCs w:val="36"/>
          <w:rtl/>
        </w:rPr>
        <w:t>م</w:t>
      </w:r>
      <w:r>
        <w:rPr>
          <w:rFonts w:cs="Traditional Arabic"/>
          <w:color w:val="000000"/>
          <w:sz w:val="36"/>
          <w:szCs w:val="36"/>
        </w:rPr>
        <w:t>.</w:t>
      </w:r>
      <w:r>
        <w:rPr>
          <w:rFonts w:cs="Traditional Arabic"/>
          <w:color w:val="000000"/>
          <w:sz w:val="36"/>
          <w:szCs w:val="36"/>
        </w:rPr>
        <w:br/>
      </w:r>
      <w:proofErr w:type="spellStart"/>
      <w:r>
        <w:rPr>
          <w:rFonts w:cs="Traditional Arabic"/>
          <w:color w:val="000000"/>
          <w:sz w:val="36"/>
          <w:szCs w:val="36"/>
          <w:rtl/>
        </w:rPr>
        <w:t>وتتمظهر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هذه المنهجية في توظيف مجموعة من الثنائيات المتقابلة: النص</w:t>
      </w:r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واللانص</w:t>
      </w:r>
      <w:proofErr w:type="spellEnd"/>
      <w:r>
        <w:rPr>
          <w:rFonts w:cs="Traditional Arabic"/>
          <w:color w:val="000000"/>
          <w:sz w:val="36"/>
          <w:szCs w:val="36"/>
          <w:rtl/>
        </w:rPr>
        <w:t>، البر والبحر، الجد والهزل…..، واستخلاص القواعد البنائية التي تتحكم في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توليد النصوص والتركيز على المعطيات الشكلية والخطابية التي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تؤطر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النصوص، واعتماد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نظرية الأدب وخاصة في قضية التجنيس والتصنيف وقراءة الوظيفة الأدبية ومقابلاتها في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النصوص المخالفة كالنص النظمي أثناء دراسة الملحمة النحوية لدى الحريري في أرجوزته</w:t>
      </w:r>
      <w:r>
        <w:rPr>
          <w:rFonts w:cs="Traditional Arabic"/>
          <w:color w:val="000000"/>
          <w:sz w:val="36"/>
          <w:szCs w:val="36"/>
        </w:rPr>
        <w:t xml:space="preserve">. </w:t>
      </w:r>
      <w:r>
        <w:rPr>
          <w:rFonts w:cs="Traditional Arabic"/>
          <w:color w:val="000000"/>
          <w:sz w:val="36"/>
          <w:szCs w:val="36"/>
          <w:rtl/>
        </w:rPr>
        <w:t>وتتجسد أيضا في رفضه لنظرية المرآة في دراسة المبدع وأثره الإبداعي، واستعمال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البنيوية السردية في استقراء القواعد السردية في النصوص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الحكائية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والأجناس الأدبية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في الثقافة العربية الكلاسيكية، ودراسة المكونات السردية كالشخصية في المقامة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والوظائف السردية والفضاء الشاعري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الحكائي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في قصة سندباد وتجنيس المقامة. ولا يكتفي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الدارس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بماهو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سردي، بل يلتجئ إلى استخدام البنيوية الشعرية في المقابلة بين الشعر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والنظم ، والأسلوبية في مدارسة المجاز والبلاغة </w:t>
      </w:r>
      <w:r>
        <w:rPr>
          <w:rFonts w:cs="Traditional Arabic"/>
          <w:color w:val="000000"/>
          <w:sz w:val="36"/>
          <w:szCs w:val="36"/>
          <w:rtl/>
        </w:rPr>
        <w:lastRenderedPageBreak/>
        <w:t>والاستعارة والبحث عن الوظائف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البنيوية التي تؤديها الصور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Style w:val="highlight1"/>
          <w:b/>
          <w:bCs/>
          <w:rtl/>
        </w:rPr>
        <w:t>البلاغية</w:t>
      </w:r>
      <w:r>
        <w:rPr>
          <w:rFonts w:cs="Traditional Arabic"/>
          <w:color w:val="000000"/>
          <w:sz w:val="36"/>
          <w:szCs w:val="36"/>
        </w:rPr>
        <w:t>.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>ولكن على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الرغم من هذا، فإننا نجد هناك تلفيقا منهجيا وتعددا في المقاربات بسبب الخاصية</w:t>
      </w:r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المقالية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التي جعلت الكتاب مجموعة من المقالات المتنوعة المتفرقة التي لها مواضيع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مختلفة لا يجمعها إلا عنصر الغرابة. ومن هذه المناهج التي اعتمد عليها الدارس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نستحضر إلى جانب البنيوية المنهج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السيميائي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أثناء حديثه عن قواعد السرد حيث يستشهد</w:t>
      </w:r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بالشكلاني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الروسي فلاديمير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بروب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،ومنهجية التلقي والتقبل كما هي عند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يوس</w:t>
      </w:r>
      <w:r>
        <w:rPr>
          <w:rFonts w:cs="Traditional Arabic"/>
          <w:color w:val="000000"/>
          <w:sz w:val="36"/>
          <w:szCs w:val="36"/>
        </w:rPr>
        <w:t>Yauss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أثناء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تمييزه بين القارئ الضمني والقارئ الحقيقي، والتمييز بين أنواع القراءة: القراءة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العالمة والقراءة العادية، ودراسة أثر النص على المتلقي وخاصة في المبحث الذي خصصه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لأرجوزة النحو للحريري. كما استعان بالطريقة التاريخية والبنيوية التكوينية أثناء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حديثه عن تاريخ الشاعر ومكانته ووظيفته في الأدب العربي القديم مقيما تماثلا بين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صيرورة مكانة الشاعر والتطور المرجعي الخارجي. ونجد للمقاربة الفلسفية حضورا عندما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تحدث عن شعرية الفضاء مستلهما شعرية گ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استون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باشلار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Gaston </w:t>
      </w:r>
      <w:proofErr w:type="spellStart"/>
      <w:r>
        <w:rPr>
          <w:rFonts w:cs="Traditional Arabic"/>
          <w:color w:val="000000"/>
          <w:sz w:val="36"/>
          <w:szCs w:val="36"/>
        </w:rPr>
        <w:t>Bachelard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في مبحث قصة</w:t>
      </w:r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السندباد</w:t>
      </w:r>
      <w:proofErr w:type="spellEnd"/>
      <w:r>
        <w:rPr>
          <w:rFonts w:cs="Traditional Arabic"/>
          <w:color w:val="000000"/>
          <w:sz w:val="36"/>
          <w:szCs w:val="36"/>
          <w:rtl/>
        </w:rPr>
        <w:t>، والأسلوبية أثناء دراسة الصور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Style w:val="highlight1"/>
          <w:b/>
          <w:bCs/>
          <w:rtl/>
        </w:rPr>
        <w:t>البلاغية</w:t>
      </w:r>
      <w:r>
        <w:rPr>
          <w:rFonts w:cs="Traditional Arabic"/>
          <w:color w:val="000000"/>
          <w:sz w:val="36"/>
          <w:szCs w:val="36"/>
        </w:rPr>
        <w:t>.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>إذا، يلاحظ أن هناك تعددا منهجيا يعبر عن تنوع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ثقافة عبد الفتاح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كليطو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وتعدد مرجعياته الفكرية والتطبيقية. ومن بين هذه المرجعيات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نذكر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الشكلانية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الروسية ورواد البنيوية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والسميوطيقا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ككلود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بريموند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وتودوروف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ورولان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بارت وگ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ريماس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وجيرار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جنيت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وريفاتيروباختين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وفيليب هامون و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جاكبسون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وبرينس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Prince… </w:t>
      </w:r>
      <w:r>
        <w:rPr>
          <w:rFonts w:cs="Traditional Arabic"/>
          <w:color w:val="000000"/>
          <w:sz w:val="36"/>
          <w:szCs w:val="36"/>
          <w:rtl/>
        </w:rPr>
        <w:t>علاوة على المرجعية الفلسفية أثناء استشهاده بگ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ادامير</w:t>
      </w:r>
      <w:r>
        <w:rPr>
          <w:rFonts w:cs="Traditional Arabic"/>
          <w:color w:val="000000"/>
          <w:sz w:val="36"/>
          <w:szCs w:val="36"/>
        </w:rPr>
        <w:t>Gadamer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وبول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ريكور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</w:rPr>
        <w:t>Ricoeur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وفوكو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Foucault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وديريدا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Derrida </w:t>
      </w:r>
      <w:r>
        <w:rPr>
          <w:rFonts w:cs="Traditional Arabic"/>
          <w:color w:val="000000"/>
          <w:sz w:val="36"/>
          <w:szCs w:val="36"/>
          <w:rtl/>
        </w:rPr>
        <w:t xml:space="preserve">ومحمد أركون.. وتمثل نظرية التلقي كما عند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يوس</w:t>
      </w:r>
      <w:r>
        <w:rPr>
          <w:rFonts w:cs="Traditional Arabic"/>
          <w:color w:val="000000"/>
          <w:sz w:val="36"/>
          <w:szCs w:val="36"/>
        </w:rPr>
        <w:t>Jauss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صاحب نظرية جمالية التقبل، ورواد نظرية الأدب والأجناس كما عند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تودوروف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وفييتور</w:t>
      </w:r>
      <w:r>
        <w:rPr>
          <w:rFonts w:cs="Traditional Arabic"/>
          <w:color w:val="000000"/>
          <w:sz w:val="36"/>
          <w:szCs w:val="36"/>
        </w:rPr>
        <w:t>Viëtor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ووات</w:t>
      </w:r>
      <w:r>
        <w:rPr>
          <w:rFonts w:cs="Traditional Arabic"/>
          <w:color w:val="000000"/>
          <w:sz w:val="36"/>
          <w:szCs w:val="36"/>
        </w:rPr>
        <w:t>watt.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>وقد طرح الكاتب في كتابه مجموعة من المصطلحات والمفاهيم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النقدية كالنص والأدب والوحدة العضوية وتاريخ الأدب ومفهوم الشاعر ومفهوم الفرد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المبدع والجنس الأدبي ومفهوم البلاغة ومفهوم الأسلوب وطبيعة المتلقي ومفهوم المرآة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وشعرية الفضاء </w:t>
      </w:r>
      <w:r>
        <w:rPr>
          <w:rFonts w:cs="Traditional Arabic"/>
          <w:color w:val="000000"/>
          <w:sz w:val="36"/>
          <w:szCs w:val="36"/>
          <w:rtl/>
        </w:rPr>
        <w:lastRenderedPageBreak/>
        <w:t>ومفهوم السرد والمتتالية السردية ومفهوم الشخصية و مفهوم الوصف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ومفهوم السرد وقواعده وتجنيس المقامة والحكاية والمنظومة النحوية … وهذه المفاهيم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حديثة التناول والدراسة ، وقد أحسن الكاتب في تبسيطها وشرحها وتوضيحها بطريقة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إجرائية تطبيقية تعليمية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وديداكتيكية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على الرغم من كون بعض هذه المفاهيم قد تجاوزها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النقد العربي المعاصر، ومن هنا لابد من ضرورة موقعة هذه المقالات في سياقها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التاريخي، وبالضبط في السجال الثقافي والمنهجي في فترة السبعينيات من القرن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الماضي</w:t>
      </w:r>
      <w:r>
        <w:rPr>
          <w:rFonts w:cs="Traditional Arabic"/>
          <w:color w:val="000000"/>
          <w:sz w:val="36"/>
          <w:szCs w:val="36"/>
        </w:rPr>
        <w:t>.</w:t>
      </w:r>
      <w:r>
        <w:rPr>
          <w:rFonts w:cs="Traditional Arabic"/>
          <w:color w:val="000000"/>
          <w:sz w:val="36"/>
          <w:szCs w:val="36"/>
        </w:rPr>
        <w:br/>
        <w:t xml:space="preserve">5- </w:t>
      </w:r>
      <w:r>
        <w:rPr>
          <w:rFonts w:cs="Traditional Arabic"/>
          <w:color w:val="000000"/>
          <w:sz w:val="36"/>
          <w:szCs w:val="36"/>
          <w:rtl/>
        </w:rPr>
        <w:t>المآخذ والانتقادات</w:t>
      </w:r>
      <w:r>
        <w:rPr>
          <w:rFonts w:cs="Traditional Arabic"/>
          <w:color w:val="000000"/>
          <w:sz w:val="36"/>
          <w:szCs w:val="36"/>
        </w:rPr>
        <w:t>: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>يلاحظ على هذا الكتاب أنه جماع منهجيات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ومقاربات متداخلة لا تنسجم مع تعيينه الجنسي للكتاب" دراسات بنيوية في الأب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العربي". كما أن هناك اضطرابا في استعمال المصطلحات والمفاهيم النقدية كالأنواع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بدلا من الأجناس، واستعمال السلسلة ترجمة لـ</w:t>
      </w:r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</w:rPr>
        <w:t>séquence</w:t>
      </w:r>
      <w:proofErr w:type="spellEnd"/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بدلا من المتتالية السردية،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واستعمال مفهوم القصة بدلا من الحكاية في نص " قصة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السندباد</w:t>
      </w:r>
      <w:proofErr w:type="spellEnd"/>
      <w:r>
        <w:rPr>
          <w:rFonts w:cs="Traditional Arabic"/>
          <w:color w:val="000000"/>
          <w:sz w:val="36"/>
          <w:szCs w:val="36"/>
          <w:rtl/>
        </w:rPr>
        <w:t>". ولم يوضح الكاتب بدقة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مفهوم الأدب وتجاوزه بسرعة إلى مفاهيم أخرى بدون أن يقدم له تحديدا جامعا وتعريفا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شاملا مانعا، كما لم يدقق بشكل واضح مفهوم الغرابة حيث تركه للقارئ لكي يستنتجه عبر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صفحات الكتاب</w:t>
      </w:r>
      <w:r>
        <w:rPr>
          <w:rFonts w:cs="Traditional Arabic"/>
          <w:color w:val="000000"/>
          <w:sz w:val="36"/>
          <w:szCs w:val="36"/>
        </w:rPr>
        <w:t>.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>ويبدو مما سبق، أن الدارس قد طبق المنهج البنيوي بآلياته الشكلية،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بيد أن هذا المنهج أظهر اليوم مدى قصوره وأحادية مراميه، لأن الواقع العلمي الحالي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يفرض علينا أن نجمع في دراساتنا لكي تكون علمية مقبولة بين الداخل والخارج، وبين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النص والمرجع. ونرى أن المنهج التكاملي الذي ينفتح على كل المناهج والمقاربات أفضل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بكثير من المنهج البنيوي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الشكلاني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الذي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لايبالي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بالمعطيات السياقية والتاريخية،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ويغض الطرف عن الواقع وذاتية المبدع وذوق القارئ</w:t>
      </w:r>
      <w:r>
        <w:rPr>
          <w:rFonts w:cs="Traditional Arabic"/>
          <w:color w:val="000000"/>
          <w:sz w:val="36"/>
          <w:szCs w:val="36"/>
        </w:rPr>
        <w:t>.</w:t>
      </w:r>
      <w:r>
        <w:rPr>
          <w:rFonts w:cs="Traditional Arabic"/>
          <w:color w:val="000000"/>
          <w:sz w:val="36"/>
          <w:szCs w:val="36"/>
        </w:rPr>
        <w:br/>
        <w:t xml:space="preserve">6- </w:t>
      </w:r>
      <w:r>
        <w:rPr>
          <w:rFonts w:cs="Traditional Arabic"/>
          <w:color w:val="000000"/>
          <w:sz w:val="36"/>
          <w:szCs w:val="36"/>
          <w:rtl/>
        </w:rPr>
        <w:t>تركيـــب واستنتاج</w:t>
      </w:r>
      <w:r>
        <w:rPr>
          <w:rFonts w:cs="Traditional Arabic"/>
          <w:color w:val="000000"/>
          <w:sz w:val="36"/>
          <w:szCs w:val="36"/>
        </w:rPr>
        <w:t>:</w:t>
      </w:r>
      <w:r>
        <w:rPr>
          <w:rFonts w:cs="Traditional Arabic"/>
          <w:color w:val="000000"/>
          <w:sz w:val="36"/>
          <w:szCs w:val="36"/>
        </w:rPr>
        <w:br/>
      </w:r>
      <w:r>
        <w:rPr>
          <w:rFonts w:cs="Traditional Arabic"/>
          <w:color w:val="000000"/>
          <w:sz w:val="36"/>
          <w:szCs w:val="36"/>
          <w:rtl/>
        </w:rPr>
        <w:t>وعلى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الرغم من هذه الانتقادات البسيطة والهينة و التي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لاتسيىء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إلى الكتاب ولا إلى صاحبه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لا من قريب ولا من بعيد، فإن كتاب "الأدب والغرابة" كتاب نقدي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حداثي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وطليعي في</w:t>
      </w:r>
      <w:r>
        <w:rPr>
          <w:rFonts w:cs="Traditional Arabic"/>
          <w:color w:val="000000"/>
          <w:sz w:val="36"/>
          <w:szCs w:val="36"/>
        </w:rPr>
        <w:t xml:space="preserve">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بيداغوجيته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ومعطياته القرائية داخل سياقه السبعيني من القرن العشرين </w:t>
      </w:r>
      <w:r>
        <w:rPr>
          <w:rFonts w:cs="Traditional Arabic"/>
          <w:color w:val="000000"/>
          <w:sz w:val="36"/>
          <w:szCs w:val="36"/>
          <w:rtl/>
        </w:rPr>
        <w:lastRenderedPageBreak/>
        <w:t>واستمراره في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عطائه المثمر الخالد إلى يومنا هذا . ومن ثم،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لايمكن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الاستغناء عنه سواء أكان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القارئ مبتدئا أم ذا باع في الثقافة النقدية. كما أن عبد الفتاح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كليطو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كان وما يزال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قمة شامخة في الأدب العربي الحديث والمعاصر، وناقدا قارئا من الطبقة الأولى بمنهجه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التأويلي الجذاب الذي ينبش في الداخل النصي لينطلق من مكنوناته العميقة ليسطر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استنتاجات ذات قيمة علمية كبرى بأسلوبه الشاعري الذي يجمع بين الوصفية العلمية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 xml:space="preserve">الرصينة والبيانية الشعرية الإبداعية. ويعني كل هذا أن </w:t>
      </w:r>
      <w:proofErr w:type="spellStart"/>
      <w:r>
        <w:rPr>
          <w:rFonts w:cs="Traditional Arabic"/>
          <w:color w:val="000000"/>
          <w:sz w:val="36"/>
          <w:szCs w:val="36"/>
          <w:rtl/>
        </w:rPr>
        <w:t>كليطو</w:t>
      </w:r>
      <w:proofErr w:type="spellEnd"/>
      <w:r>
        <w:rPr>
          <w:rFonts w:cs="Traditional Arabic"/>
          <w:color w:val="000000"/>
          <w:sz w:val="36"/>
          <w:szCs w:val="36"/>
          <w:rtl/>
        </w:rPr>
        <w:t xml:space="preserve"> ناقد مبدع وأديب عالم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كما يظهر ذلك واضحا في سفره النقدي هذا، وكتابيه الآخرين "الحكاية والتأويل" و</w:t>
      </w:r>
      <w:r>
        <w:rPr>
          <w:rFonts w:cs="Traditional Arabic"/>
          <w:color w:val="000000"/>
          <w:sz w:val="36"/>
          <w:szCs w:val="36"/>
        </w:rPr>
        <w:t xml:space="preserve"> </w:t>
      </w:r>
      <w:r>
        <w:rPr>
          <w:rFonts w:cs="Traditional Arabic"/>
          <w:color w:val="000000"/>
          <w:sz w:val="36"/>
          <w:szCs w:val="36"/>
          <w:rtl/>
        </w:rPr>
        <w:t>كتابه "الغائب</w:t>
      </w:r>
      <w:r>
        <w:rPr>
          <w:rFonts w:cs="Traditional Arabic"/>
          <w:color w:val="000000"/>
          <w:sz w:val="36"/>
          <w:szCs w:val="36"/>
        </w:rPr>
        <w:t xml:space="preserve">". </w:t>
      </w:r>
    </w:p>
    <w:sectPr w:rsidR="00964FF4" w:rsidRPr="00243566" w:rsidSect="00C703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43566"/>
    <w:rsid w:val="00243566"/>
    <w:rsid w:val="00964FF4"/>
    <w:rsid w:val="00C703F7"/>
    <w:rsid w:val="00CE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566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E3C23"/>
      <w:sz w:val="24"/>
      <w:szCs w:val="24"/>
    </w:rPr>
  </w:style>
  <w:style w:type="character" w:customStyle="1" w:styleId="highlight1">
    <w:name w:val="highlight1"/>
    <w:basedOn w:val="a0"/>
    <w:rsid w:val="00243566"/>
    <w:rPr>
      <w:rFonts w:ascii="Tahoma" w:hAnsi="Tahoma" w:cs="Tahoma" w:hint="default"/>
      <w:b/>
      <w:bCs/>
      <w:color w:val="FF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ISDN</dc:creator>
  <cp:keywords/>
  <dc:description/>
  <cp:lastModifiedBy>ISDN</cp:lastModifiedBy>
  <cp:revision>1</cp:revision>
  <dcterms:created xsi:type="dcterms:W3CDTF">2010-09-09T01:57:00Z</dcterms:created>
  <dcterms:modified xsi:type="dcterms:W3CDTF">2010-09-09T01:59:00Z</dcterms:modified>
</cp:coreProperties>
</file>