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50" w:rsidRPr="00F45850" w:rsidRDefault="00F45850" w:rsidP="00F45850">
      <w:pPr>
        <w:spacing w:after="0" w:line="240" w:lineRule="auto"/>
        <w:rPr>
          <w:rFonts w:ascii="Tahoma" w:eastAsia="Times New Roman" w:hAnsi="Tahoma" w:cs="Tahoma"/>
          <w:b/>
          <w:bCs/>
          <w:sz w:val="13"/>
          <w:szCs w:val="13"/>
        </w:rPr>
      </w:pPr>
      <w:r w:rsidRPr="00F45850">
        <w:rPr>
          <w:rFonts w:ascii="Tahoma" w:eastAsia="Times New Roman" w:hAnsi="Tahoma" w:cs="Tahoma"/>
          <w:b/>
          <w:bCs/>
          <w:sz w:val="13"/>
          <w:rtl/>
        </w:rPr>
        <w:t>المعجم والمصطلح بين الاختلاف والائتلاف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t xml:space="preserve"> </w:t>
      </w:r>
    </w:p>
    <w:p w:rsidR="00F45850" w:rsidRPr="00F45850" w:rsidRDefault="00F45850" w:rsidP="00F45850">
      <w:pPr>
        <w:spacing w:after="0" w:line="240" w:lineRule="auto"/>
        <w:rPr>
          <w:rFonts w:ascii="Tahoma" w:eastAsia="Times New Roman" w:hAnsi="Tahoma" w:cs="Tahoma"/>
          <w:b/>
          <w:bCs/>
          <w:sz w:val="13"/>
          <w:szCs w:val="13"/>
        </w:rPr>
      </w:pPr>
      <w:r w:rsidRPr="00F45850">
        <w:rPr>
          <w:rFonts w:ascii="Tahoma" w:eastAsia="Times New Roman" w:hAnsi="Tahoma" w:cs="Tahoma"/>
          <w:b/>
          <w:bCs/>
          <w:sz w:val="13"/>
          <w:szCs w:val="13"/>
        </w:rPr>
        <w:pict>
          <v:rect id="_x0000_i1025" style="width:0;height:.75pt" o:hralign="center" o:hrstd="t" o:hrnoshade="t" o:hr="t" fillcolor="#f6d881" stroked="f"/>
        </w:pict>
      </w:r>
    </w:p>
    <w:p w:rsidR="00F45850" w:rsidRPr="00F45850" w:rsidRDefault="00F45850" w:rsidP="00F45850">
      <w:pPr>
        <w:spacing w:after="0" w:line="240" w:lineRule="auto"/>
        <w:rPr>
          <w:rFonts w:ascii="Tahoma" w:eastAsia="Times New Roman" w:hAnsi="Tahoma" w:cs="Akhbar MT"/>
          <w:b/>
          <w:bCs/>
          <w:sz w:val="13"/>
          <w:szCs w:val="13"/>
        </w:rPr>
      </w:pPr>
      <w:r w:rsidRPr="00F45850">
        <w:rPr>
          <w:rFonts w:ascii="Tahoma" w:eastAsia="Times New Roman" w:hAnsi="Tahoma" w:cs="Akhbar MT"/>
          <w:b/>
          <w:bCs/>
          <w:color w:val="000000"/>
          <w:sz w:val="24"/>
          <w:szCs w:val="24"/>
          <w:rtl/>
        </w:rPr>
        <w:t>ذ.سعيد</w:t>
      </w:r>
      <w:r w:rsidRPr="00F45850">
        <w:rPr>
          <w:rFonts w:ascii="Tahoma" w:eastAsia="Times New Roman" w:hAnsi="Tahoma" w:cs="Akhbar MT"/>
          <w:b/>
          <w:bCs/>
          <w:color w:val="000000"/>
          <w:sz w:val="24"/>
          <w:szCs w:val="24"/>
        </w:rPr>
        <w:t xml:space="preserve">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4"/>
          <w:szCs w:val="24"/>
          <w:rtl/>
        </w:rPr>
        <w:t>الخــــلادي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4"/>
          <w:szCs w:val="24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4"/>
          <w:szCs w:val="24"/>
          <w:vertAlign w:val="superscript"/>
        </w:rPr>
        <w:t>(</w:t>
      </w:r>
      <w:hyperlink r:id="rId4" w:anchor="_ftn1" w:tgtFrame="_blank" w:history="1">
        <w:r w:rsidRPr="00F45850">
          <w:rPr>
            <w:rFonts w:ascii="Tahoma" w:eastAsia="Times New Roman" w:hAnsi="Tahoma" w:cs="Akhbar MT"/>
            <w:b/>
            <w:bCs/>
            <w:color w:val="0066CC"/>
            <w:sz w:val="24"/>
            <w:szCs w:val="24"/>
            <w:vertAlign w:val="superscript"/>
          </w:rPr>
          <w:t>*</w:t>
        </w:r>
      </w:hyperlink>
      <w:r w:rsidRPr="00F45850">
        <w:rPr>
          <w:rFonts w:ascii="Tahoma" w:eastAsia="Times New Roman" w:hAnsi="Tahoma" w:cs="Akhbar MT"/>
          <w:b/>
          <w:bCs/>
          <w:color w:val="000000"/>
          <w:sz w:val="24"/>
          <w:szCs w:val="24"/>
          <w:vertAlign w:val="superscript"/>
        </w:rPr>
        <w:t>)</w:t>
      </w:r>
      <w:r w:rsidRPr="00F45850">
        <w:rPr>
          <w:rFonts w:ascii="Tahoma" w:eastAsia="Times New Roman" w:hAnsi="Tahoma" w:cs="Tahoma"/>
          <w:b/>
          <w:bCs/>
          <w:sz w:val="24"/>
          <w:szCs w:val="24"/>
        </w:rPr>
        <w:br/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قال الحكماء قديما: "العلم لغة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أحكم وَضْعُها " مفاد هذا القول المأثور الذي ينبغي أن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يترسخ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في الذاكرة الجماعية،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أو على الأقل في ذاكرة جمهور الباحثين وطلبة العلم وسدنة الثقافة، أن العالم يفترض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فيه أن ينزّل الكلم في مواضعه، أي أن يوفي صياغة أفكاره حقها من الدقة والسلاسة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والوضوح وأن يتحرى ذلك قدر الإمكان وهو يلاحظ ويفترض،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ويسائل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ويُجيب، ويسمي ويعرف،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ويستقرئ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ويفسر، ويبرهن ويستنتج، ويدرس ويؤلف،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ويساجل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ويناظر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ولعل من أول المتطلبات وسوابق الشروط لتحقيق مثل هذا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الإحكام اعتماد مصطلحات فيها من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اللطافة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والدقة ما يضمن التعبير عن المفهوم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والإحالة إلى المرجع إحالة تمكّن من الإحاطة معرفيا بالمفاهيم والأشياء، فمصطلحات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العلوم إنما هي مفاتيح حصونها وناظمة أنساقها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وكواشف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مكنوناتها. ولا غرو، أن نجد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لفظة "مفتاح " تتصدر عنوان أكثر من مؤلف يعالج، بهذا القدر أو ذاك من الوعي النظري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والصرامة المنهجية، قضية المصطلحات في الفكر العربي قديمه وحديثه. مثال ذلك كتاب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مفاتيح العلوم للخوارزمي، ومفتاح السعادة ومصباح السيادة لطاش كبرى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زاده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وكذا مفتاح العلوم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للسكاكي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، (وهو من الكتب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المؤسسة في البلاغة العربية حيث يعج بالأوضاع المصطلحية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المستحدثة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).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ومعلوم أن هذه المصنفات وغيرها (ككشاف اصطلاحات الفنون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للتهانوي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، وكتاب التعريفات للجرجاني) نهلت من ذخائر العلوم الأصيلة (من نحو وبلاغة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وفقه وتفسير وحديث) كما استقت مادتها من العلوم الدخيلة، كالرياضيات والمنطق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والفلسفة . وكان طبيعيا أن يواجه أصحابها، مثلما واجه المفكرون والعلماء، مصطلحات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ومفاهيم جديدة، مفاهيم اقتحمت المجال الذهني العربي الإسلامي، فلم يكن هناك بد من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أن يتصدّوا لها بالتمحيص والتعريف والترجمة، وهو ما اضطلعوا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دونما مرجع معتمدين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في النقل وسائل التوليد المعروفة في لغة الضاد. ويمكن القول أن نصيب هذه الوسائل من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الإعمال والتوظيف كان حسب الترتيب التالي: الاشتقاق فالمجاز فالتعريب ثم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النحت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وغني عن البيان أن نقل المصطلح العلمي الأجنبي بالذات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وتوحيده على الصعيد العربي (وذلكم موضوع هذه الندوة وهاجسنا المشترك) هما مهتمان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تقتضيان تضافر جهود اللغوي والمتخصص في عروة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وثقى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لا انفصام لها، وذلك من جهة أهمية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ضبط المفهوم وتحديد خصائصه وموقعه من المنظومة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المفهومية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التي ينتمي إليها وعالم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الأشياء الذي يحيل إليه، ومن جهة ضرورة تأصيل البحث في معجم اللغة بشتى مقوماته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ومكوناته لإيجاد أنسب التسميات وأوفاها بالمقصود. فلا انفصام بين المعجم والمصطلح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.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ونحن إذ ننوّه بأهمية الرصيد المعجمي فإنما ننطلق بداهة- وليس في الأمر جدّة تذكر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-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من كونه الفضاء العام الذي ينمو ويتحرك ضمنه الرصيد المصطلحي، والنموذج المرجعي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المعياري الذي تتحقق سلامة الوحدة المصطلحية وفق ضوابطه وأصوله. ومن ثم فإن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العلاقات التي تنتظم الرصيدين هي علاقات قوامُها الاحتضان والامتداد والتكامل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والائتلاف بيد أنها لا تخلو من بعض التوتر والاضطراب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والاختلاف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-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المعجم والمصطلح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: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مما يستوقف الناظر في أمر اللغة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أن نصيباً وافراً من مفرداتها تعتريه ضروب من التداخل الدلالي والتشعب ينجم عنهما،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أحياناً لدى المتلقي قلق في القراءة وتذبذبٌ بين الإمكانات التأويلية، فهذه اللفظة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تتأرجح بين دلالات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lastRenderedPageBreak/>
        <w:t>متعددة، وتلك يتحد فيها الدال وتفترق المدلولات (وهو الاشتراك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اللفظي)، وأخرى تضطرب بين الحقيقة والمجاز، وبين التصريح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والإيماء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وليس بخافٍ أن هذه الظواهر التي تُعزى إلى طبيعة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المخزون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المفرداتي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من حيث إنه أدنى مكونات اللغة استقراراً وثباتاً وأكثرها عرضة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للتغير والتطور وذلك بحسب ظهور الحاجات التعبيرية. مثل هذه الظواهر إنما هو عنوان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حيوية اللغة وقابليتها للاتساع والإثراء وأريحيتها في استقبال المعنى الطريف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والدلالة الطارئة، علماً بأن الألفاظ متناهية والمفاهيم الحادثة ليست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كذلك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غير أن أسباب الاضطراب الدلالي هذه ما كانت لتحول بصفة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مطلقة دون نجاح الوظيفة التواصلية، فمتى أشكلت اللفظة علينا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وانبهمت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كان لنا في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السياق ملاذاً نلوذ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وفيصلاً نحتكم إليه في معظم الأحيان، إذ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(أي بالسياق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)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ينتقل المعنى من القوة إلى الفعل، وفي ضوئه تتحقق افتراضات دلالية دون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أخرى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ويختلف الأمر اختلافا ملموسا في المجال المصطلحي حيث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يُراد للمصطلح الواحد أن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يتمحض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للمفهوم الواحد دفعاً للغموض ورفعاً للاشتراك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واللبس. ومن أوائل الشروط لتحقيق هذه الأحادية الدلالية تحديد المجال المعرفي الذي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ينتمي إليه المصطلح "فكثير من الوحدات المصطلحية تستعمل في أكثر من نظام مصطلحي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.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لكن هذا الأمر لا يعطي صفة الاشتراك للمصطلح في المستوى الدلالي (كما يقول عثمان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بنطالب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) لأنه يوظف كدالّ في ميادين معرفية مختلفة. والشرط الأساسي في عدم الاشتراك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يبقى متوافراً لاختلاف الوظيفة المرجعية الخاصة بكل نظام". فليس سواء أن نقول:نظام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اقتصادي/ نظام غذائي/ نظام ضريبي / نظام دولي أو نظام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الدولة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وليس سواء أن نقول في الفرنسية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: </w:t>
      </w:r>
    </w:p>
    <w:tbl>
      <w:tblPr>
        <w:bidiVisual/>
        <w:tblW w:w="0" w:type="auto"/>
        <w:tblInd w:w="177" w:type="dxa"/>
        <w:tblLayout w:type="fixed"/>
        <w:tblLook w:val="04A0"/>
      </w:tblPr>
      <w:tblGrid>
        <w:gridCol w:w="1843"/>
        <w:gridCol w:w="2268"/>
      </w:tblGrid>
      <w:tr w:rsidR="00F45850" w:rsidRPr="00F45850" w:rsidTr="00F45850">
        <w:trPr>
          <w:trHeight w:val="48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F45850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جهاز عصبي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Système</w:t>
            </w:r>
            <w:proofErr w:type="spellEnd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nerveux</w:t>
            </w:r>
            <w:proofErr w:type="spellEnd"/>
          </w:p>
        </w:tc>
      </w:tr>
      <w:tr w:rsidR="00F45850" w:rsidRPr="00F45850" w:rsidTr="00F45850">
        <w:trPr>
          <w:trHeight w:val="4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F45850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منظومة، مجموعة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Système</w:t>
            </w:r>
            <w:proofErr w:type="spellEnd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solaire</w:t>
            </w:r>
            <w:proofErr w:type="spellEnd"/>
          </w:p>
        </w:tc>
      </w:tr>
      <w:tr w:rsidR="00F45850" w:rsidRPr="00F45850" w:rsidTr="00F45850">
        <w:trPr>
          <w:trHeight w:val="48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F45850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نسق / منظومة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Système</w:t>
            </w:r>
            <w:proofErr w:type="spellEnd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philosophique</w:t>
            </w:r>
            <w:proofErr w:type="spellEnd"/>
          </w:p>
        </w:tc>
      </w:tr>
      <w:tr w:rsidR="00F45850" w:rsidRPr="00F45850" w:rsidTr="00F45850">
        <w:trPr>
          <w:trHeight w:val="4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F45850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نظمة</w:t>
            </w:r>
            <w:proofErr w:type="spellEnd"/>
            <w:r w:rsidRPr="00F45850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 معادلات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Système</w:t>
            </w:r>
            <w:proofErr w:type="spellEnd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d’équations</w:t>
            </w:r>
            <w:proofErr w:type="spellEnd"/>
          </w:p>
        </w:tc>
      </w:tr>
    </w:tbl>
    <w:p w:rsidR="00F45850" w:rsidRPr="00F45850" w:rsidRDefault="00F45850" w:rsidP="00F45850">
      <w:pPr>
        <w:spacing w:after="0" w:line="240" w:lineRule="auto"/>
        <w:rPr>
          <w:rFonts w:ascii="Tahoma" w:eastAsia="Times New Roman" w:hAnsi="Tahoma" w:cs="Akhbar MT"/>
          <w:b/>
          <w:bCs/>
          <w:sz w:val="27"/>
          <w:szCs w:val="27"/>
        </w:rPr>
      </w:pP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واللافت في صيغة هذه الوحدات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المصطلحية أنها تتخذ شكل مركبات اسمية يقترن فيها الموصوف بالصفة أو المحدّد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بالمحدِّد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(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déterminé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+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déterminant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)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وذلك بالنعت وبالنسبة أو بالإضافة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.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وهذه طريقة دارجة جارية يتوسل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المصطلحيون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لتحديد الميدان المعرفي، ولتأمين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الحصر الدلالي الذي يقوم على عزل المفهوم عن مفاهيم مجاورة عاملة في حقول معرفية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أخرى، وعلى تقييده وتخصيصه بالقياس إلى مدلول اللفظة المعجمي العام، وهو تخصيص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تنتقل بموجبه المفردة من دائرة المعجم إلى سجل الاصطلاح. فبالمركب الاسمي ينتفي قدر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كبير من التعدد والاشتراك،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وبه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يتسنى للمصطلح أداءُ وظيفته المرجعية بنجاته من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اللبس والغموض. ومن هنا شرف مرتبته وحظوته لدى المصطلحيين ومنهم "ألان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راي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". وهو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إنما يستمد هذه الحظوة من طابعه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التحديدي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وبعده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الإبلاغي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في المستوى القطاعي، مستوى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الثقافة العالمية، ومن بعده التبسيطي والتعليمي في مستوى الثقافة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المشتركة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غير أن الأمور ليست بهذه البساطة ، فكثيراً ما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تستوقف ممارس الترجمة العلمية، بل وتحيّره مصطلحات تتقاسمها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lastRenderedPageBreak/>
        <w:t>وتجتمع فيها مفاهيم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ودلالات متباينة وإن تعلق الأمر بمركبات اسمية منتظمة في حقول معرفية محددة. يكفي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هاهنا أن نستحضر ما ورد أمس في مداخلة الأستاذين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برهون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والرهوني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، فعبارة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Formule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chimique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التي جاءت في نص مجاله علم الكيمياء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ما كان المقصود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الصيغة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الكيميائية كما يتبادر إلى الذهن أول وهلة، وإنما طريقة كيميائية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معينة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وإذا كان هذا حال الأسماء المركبة، فما بالنا بالأسماء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البسيطة، تلك التي يتوفر فيها التجريد الاصطلاحي (حسب تعبير عبد السلام المسدي) و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(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التجريد بمعنى لمّ الأجزاء وجمع المكونات في كل واحد) وهي أعلى مراتب الاصطلاح إذ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يتيسر تصغيرها والنعت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والنسبة إليها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فمصطلح "حدّ " قد يُراد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في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المنطق (وداخل النص نفسه) التعريف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Définition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، والقضية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Prémisse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Proposition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(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الحد الأكبر = الحد الأوسط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)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La proposition majeure et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mineure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أو المقدمة الكبرى والصغرى في القياس المنطقي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Prémisses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d'unsyllogisme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(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حيث نقول طرفا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قضية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)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Les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termes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propositions (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limite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/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والطرف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terme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، كما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يعني التَّخوم واللفظة الفرنسية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induction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قد يراد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في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المجال العلمي نفسه الاستقراء أو التحريض، ويضيف المعجم العلمي والتقني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(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)(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Lexique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Scientifique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technologique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)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مقابلا آخر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هو التخلف. ونلاحظ في هذا المعجم بعض القلق في التعامل مع هذا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المصطلح وتفريعاته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2268"/>
        <w:gridCol w:w="1242"/>
      </w:tblGrid>
      <w:tr w:rsidR="00F45850" w:rsidRPr="00F45850" w:rsidTr="00F4585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50" w:rsidRPr="00F45850" w:rsidRDefault="00F45850" w:rsidP="00F45850">
            <w:pPr>
              <w:spacing w:after="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F45850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تعدد دلالي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50" w:rsidRPr="00F45850" w:rsidRDefault="00F45850" w:rsidP="00F45850">
            <w:pPr>
              <w:spacing w:after="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F45850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تحريضية، معامل التحريض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50" w:rsidRPr="00F45850" w:rsidRDefault="00F45850" w:rsidP="00F45850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  <w:rtl/>
              </w:rPr>
            </w:pPr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Inductance</w:t>
            </w:r>
          </w:p>
          <w:p w:rsidR="00F45850" w:rsidRPr="00F45850" w:rsidRDefault="00F45850" w:rsidP="00F458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</w:pPr>
          </w:p>
        </w:tc>
      </w:tr>
      <w:tr w:rsidR="00F45850" w:rsidRPr="00F45850" w:rsidTr="00F45850">
        <w:trPr>
          <w:trHeight w:val="4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after="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F45850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اشتراك لفظي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after="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F45850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تحريضي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Inductif</w:t>
            </w:r>
            <w:proofErr w:type="spellEnd"/>
          </w:p>
          <w:p w:rsidR="00F45850" w:rsidRPr="00F45850" w:rsidRDefault="00F45850" w:rsidP="00F458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</w:pPr>
          </w:p>
        </w:tc>
      </w:tr>
      <w:tr w:rsidR="00F45850" w:rsidRPr="00F45850" w:rsidTr="00F45850">
        <w:trPr>
          <w:cantSplit/>
          <w:trHeight w:val="4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 w:rsidRPr="00F45850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غياب الشقية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 w:rsidRPr="00F45850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محرض، مستخلص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Induit</w:t>
            </w:r>
            <w:proofErr w:type="spellEnd"/>
          </w:p>
        </w:tc>
      </w:tr>
    </w:tbl>
    <w:p w:rsidR="00F45850" w:rsidRPr="00F45850" w:rsidRDefault="00F45850" w:rsidP="00F45850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</w:rPr>
      </w:pP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والاستخلاص أقرب إلى الاستنباط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منه إلى الاستقراء. أما المعجم الموحد فلم نعثر فيه على أثر لهذا و لا لتفريعاته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الاشتقاقية. ففي مثل هذه الحالات وغيرها كثير، يتعذر على المترجم رفع التعدد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والاشتراك وإيجاد المقابل الملائم إلا أن يستند إلى القرائن السياقية التي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ينتفي هذا التحقق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المفهومي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ويثبت ذاك. آنذاك فقط تنحل عقدة لسان المترجم وينطق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الكلمة الضائعة العصية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إذن فعلى السياق المعوّل، سواء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في المعجم أو في المصطلح. ومع ذلك تظل الوحدة الاصطلاحية عموماً أدنى إلى الأحادية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الدلالية منها إلى التعدد والاشتراك (انظر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Bayloux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Fabre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)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في الأدبيات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المعجمية الفرنسية، تعد الأحادية حكراً على المصطلح العلمي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والتقني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).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المعجم والمصطلح أو الاعتباط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والمناسبة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: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سنتناول الآن وجها آخر من أوجه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الموازنة بين الرصيد المعجمي والرصيد المصطلحي، وذلك بالرجوع إلى طبيعة وضع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المفردات ونشأتها والبحث في صلتها بمسمَّياتها . فلما كانت اللغة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مواضعة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واتفاقاً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على إفراد هذا الاسم لهذا المسمى وعلى تخصيصه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تخصيصاً لا يستند إلى علاقة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طبيعية، أي إلى رابط معلل، كان الاعتباط هو السمة المهيمنة على العلاقة بين الدوال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والمدلولات والأشياء. فباستثناء حكاية الأصوات التي ينطبق فيها الاسم على المسمى،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لا يكاد يخلو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lastRenderedPageBreak/>
        <w:t>الدليل اللغوي من الاعتباط. وهذه العلاقة الاعتباطية التي لا يعضدها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وجود المسوّغ إنما تقتصر على الوضع الأول أو ما يسمى في البلاغة بالحقيقة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.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فالحقيقة، كما يقول الجرجاني هي " كل كلمة أريد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ما وقعت له في وضع واضع وقوعاً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لا يستند فيه إلى غيرة (أسرار البلاغة، ص324). هي إذن وضع لا يرتكز على مستند ولا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يحتكم إلى نموذج أو إطار مرجعي، فكأن الكلمة لقيطة أتت من فراغ، لذا عُدَّت اللغة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اصطلاحاً من الدرجة الأولى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أما الاصطلاح العلمي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وهو الذي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يعنينا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فهو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من الدرجة الثانية، إنه "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مواضعة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مضاعفة، على حد تعبير عبد السلام المسدي،إذ يتحول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إلى اصطلاح في صلب الاصطلاح. فهو إذن نظام إبلاغي مزروع في حنايا النظام التواصلي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الأول، و هو بصورة تعبيرية أخرى علامات مشتقة من جهاز علامي أوسع منه كمّا وأضيق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دقة". يبدو إذن أن المصطلح يعرى من الاعتباط إذ هو مأخوذ عموماً من مفردات موجودة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سلفا، وذات دلالات قائمة يتحقق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الوصل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والمناسبة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واستحضارنا المناسبة (وتسمى أيضاً الملاحظة في البلاغة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مثله مثل إشارتنا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الآنفة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إلى الحقيقة، لا بد أن يقودنا بالاستتباع وبمقتضى التداعي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والتلازم بين هذه المفاهيم إلى الحديث عن المجاز (الذي لا يخفى دوره سواء في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البلاغة أو في الاصطلاح). وحسب التعريف الذي وضعه الجرجاني: " كل كلمة أريد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غير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ما وضعت له في وضع واضعها لملاحظة بين الثاني والأول فهي مجاز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".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والملاحظة تعني ما يقوم من علاقات بين المعنى الأصلي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والمعنى المجازي. ففي لفظة "شجرة" مثلا، نلاحظ أن العلاقة بين الاسم والمسمى تقوم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على الاعتباط (التسمية المرجع، أسماء مختلفة في لغات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أخرى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).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لكن إذا أخذنا مصطلح "شجرة النسب" وهو متواتر في علم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الأنساب أو "هو من شجرة النبوة"، تبين لنا أن بين الوضع الاصطلاحي والوضع الأصلي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ملاحظة تقوم على المشابهة. فالتحول في المجاز عملية واعية يعضدها وجود الرابط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المعلل، وهي كما لا يخفى وسيلة تعبيرية خصبة يتجاوز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المتكلم وكذلك المصطلحي ضيق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وسائل التعبير ويطوعها لأداء المعاني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الحادثة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وتجدر الإشارة فيما يخص القضية الاصطلاحية إلى أن ما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ينسحب على المجاز يصدق إلى حد بعيد على وسائل التوليد الأخرى، من اشتقاق ونحت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وتعريب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ففي كل هذه الحالات، تتأسس الأوضاع الجديدة، وإن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اختلفت صيغها وطرائقها، عن أوضاع معجمية أو مصطلحية قائمة الذات سلفا، وإذن على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دلالات ومفاهيم معهودة وحاضرة في الأذهان، وإن لم يكن ففي القواميس والكتب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. (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الاشتقاق: شجرة خلاف تشاجر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…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).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الوضع المصطلحي وثنائية الائتلاف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والاختلاف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: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بما أن الاصطلاح اتفاق وتعارف، فحري بنا أن نتناول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وحدة مصطلحية تجري على الألسنة والأقلام في العالم العربي مستجيبة لمعيار التوحيد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المصطلحي في التداول المطرد والاستعمال الجاري. يتعلق الأمر بمصطلح "علم البيئة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"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المقابل العربي لـ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Ecologie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فهل يتبدى من جهة الدلالة اتحاد أم اختلاف جزئي بين المصطلح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الأجنبي ونظيره العربي؟ وهل يسم هذا الأخير مجمل خصائص المفهوم وأوجه المرجع أم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يجتزئ بعضها؟ وهذا أمر منطقي بل ضروري في الأغلب الأعم، نظراً لعدم تطابق الأنساق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اللغوية وتباينها في تقطيع واقع الإنسان وتجربته في العالم؟ ثم هل تم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استيحاؤه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من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صميم اللغة؟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).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وفي حالة الإثبات، هل يبدي هذا المصطلح خلال سفره من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الوضع الأول إلى الثاني، أي عند انتقاله من فضاء المعجم إلى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lastRenderedPageBreak/>
        <w:t>إطار الاصطلاح، هل يبدي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امتدادا دلالياً ملموساً بين المعنى الأصلي والمفهوم الخاص الطارئ؟. وفي هذه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الحالة، ما هي الصلة المنطقية والمجازية التي تؤسس هذا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الامتداد؟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في المدخل المعجمي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écologie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، يورد قاموس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Petit Robert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التعريف التالي: " هو دراسة الوسط الذي تعيش فيه الكائنات الحية وتتكاثر وبحث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علاقتها بهذا الوسط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".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أما المعلومات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التأريخية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التأثيلية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(وهي ما يهم في اختيار قاموس عام) فتبين كيف أن هذا المصطلح استعمل في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الفرنسية أول مرة سنة 1904، وأنه مقترض من اللغة الألمانية حيث وضعه العالم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الألماني "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هاكل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"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Haeckel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بصيغة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Decolgie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سنة 1873 ( إحدى وثلاثون سنة تفصل بين وضع مصطلح في الألمانية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واعتماده في الفرنسية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).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أما أصل الكلمة، فيتكون من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اللفظة الإغريقية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"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Oïkos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"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وتعني" البيت والمسكن"، ومن اللاحقة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"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Logie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"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ومن المثير للانتباه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أن مشتقات من قبيل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écologique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النعت / النسبة و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écologiste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العالم والممارس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المتخصص في هذا المجال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هذه المشتقات لم تنل حق المواطنة في الديار الفرنسية إلا سنة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1968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مما قد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يعني قصور الفرنسيين وتأخرهم في هذا المجال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المعرفي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).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غير أن الطريف حقاً هو ما يشير إليه القاموس المذكور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من أن مصطلح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Ecol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صيغ على منوال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Economie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الذي يعني في أصله الإغريقي "تدبير المنزل"(حيث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المكون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oïkos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معناه المنزل و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"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nomos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"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administer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=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سير تسييراً؟ ودبر تدبيراً. ولا غرابة ، إذ نجد في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تصانيف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العلوم لدى العلماء المسلمين القدامى مبحث تدبير المنزل بالذات، مدرجاً ضمن العلوم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العملية كالطب والكيمياء وعلم الحيل وسياسة الرعية. ويبدو أن هؤلاء العلماء ترجموا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اللفظ الإغريقي ترجمة حرفية بواسطة المركب الاسمي، بيد أن الاستعمال لم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يلبث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أن رجح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لفظة اقتصاد (تجريد + متوفر في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الأصول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)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Tahoma"/>
          <w:b/>
          <w:bCs/>
          <w:noProof/>
          <w:sz w:val="13"/>
          <w:szCs w:val="13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0pt;margin-top:-122pt;width:50pt;height:50pt;z-index:251658240;mso-position-horizontal-relative:text;mso-position-vertical-relative:text">
            <v:textbox>
              <w:txbxContent>
                <w:p w:rsidR="00F45850" w:rsidRDefault="00F45850" w:rsidP="00F45850"/>
              </w:txbxContent>
            </v:textbox>
            <w10:wrap anchorx="page"/>
          </v:shape>
        </w:pic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Ecole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: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escole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; lat,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schola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skholé</w:t>
      </w:r>
      <w:proofErr w:type="spellEnd"/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</w:p>
    <w:tbl>
      <w:tblPr>
        <w:bidiVisual/>
        <w:tblW w:w="0" w:type="auto"/>
        <w:tblInd w:w="461" w:type="dxa"/>
        <w:tblLayout w:type="fixed"/>
        <w:tblLook w:val="04A0"/>
      </w:tblPr>
      <w:tblGrid>
        <w:gridCol w:w="1701"/>
        <w:gridCol w:w="2410"/>
      </w:tblGrid>
      <w:tr w:rsidR="00F45850" w:rsidRPr="00F45850" w:rsidTr="00F4585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F45850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تفريعات اشتقاقية: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  <w:rtl/>
              </w:rPr>
            </w:pPr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;</w:t>
            </w:r>
            <w:proofErr w:type="spellStart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ScolarisationScolaire</w:t>
            </w:r>
            <w:proofErr w:type="spellEnd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,</w:t>
            </w:r>
          </w:p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rtl/>
              </w:rPr>
            </w:pPr>
          </w:p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F4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Scolastique</w:t>
            </w:r>
            <w:proofErr w:type="spellEnd"/>
          </w:p>
          <w:p w:rsidR="00F45850" w:rsidRPr="00F45850" w:rsidRDefault="00F45850" w:rsidP="00F458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</w:pPr>
          </w:p>
        </w:tc>
      </w:tr>
    </w:tbl>
    <w:p w:rsidR="00F45850" w:rsidRPr="00F45850" w:rsidRDefault="00F45850" w:rsidP="00F45850">
      <w:pPr>
        <w:spacing w:after="270" w:line="240" w:lineRule="auto"/>
        <w:rPr>
          <w:rFonts w:ascii="Tahoma" w:eastAsia="Times New Roman" w:hAnsi="Tahoma" w:cs="Akhbar MT"/>
          <w:b/>
          <w:bCs/>
          <w:sz w:val="27"/>
          <w:szCs w:val="27"/>
        </w:rPr>
      </w:pP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البيئة في المعجم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العربي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: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من خلال هذا النبش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الإثالي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البسيط الذي تأتى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الكشف عن السمة الدلالية "بيت ومسكن" في المدلول الأصلي لـمصطلح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Ecologie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، قد يظن الدارس أن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المقابل العربي "بيئة" (مضافاً إلى علْم) وهو الذي يقترن في الأذهان ببعض الألفاظ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المجاورة كالمحيط والوسط والفضاء والمناخ والجو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أقول قد يظن أن اعتماده تم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انطلاقا من التعريف، أي من العبارة التحليلية الشارحة ("دراسة الوسط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…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")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ولا بدعة في هذا، فالممارسة المصطلحية تنبني بكيفية مطردة على وضع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وحدات جديدة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باستيحاء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واحدة من الخصائص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المفهومية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الواردة في التعريف المصطلحي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(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حاسوب مثلا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)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lastRenderedPageBreak/>
        <w:t xml:space="preserve">الظاهر إذن أول وهلة أن ثمة شبه تغييب للمعنى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الإثالي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"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بيت مسكن" وأن التركيز وقع على مفهوم الوسط الذي يشكل سمة دلالية جوهرية في هذا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المصطلح. فهل جرت الأمور فعلا على هذا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النحو؟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في القواميس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العربية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: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إن لفظ البيئة مشتق من المادة المعجمية "ب و أ " وصيغة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الفعل من هذا الجذر هي "باء يبوء بوءاً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"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المعجم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الأساسي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: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باء المرء بالشيء وإليه: رجع حيث نقول: باء بالفشل، وفي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الآية الكريمة: و "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باؤوا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بغضب من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الله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".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لسان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العرب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: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يضيف اللسان استعمالا آخر: " باء بذنبه وبإثمه" احتمله،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وصار المذنب مأوى الذنب. والباءة والباء: النكاح، والأصل في الباءة المنزل، ثم قيل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لعقد التزويج "باءة " لأن من تزوج امرأة بوأها منزلاً. هكذا فبوَّأ الشخص منزلاً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وفيه: أنزله ومن "بَوّأ" نفضي إلى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تبوَّأ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".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-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المكان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وبه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: نزله وأقام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</w:t>
      </w:r>
      <w:proofErr w:type="spellEnd"/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-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مكانة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: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شغَلها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والبيئة والباءة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والمباءة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، كلها ألفاظ تعني المنزل، كل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منزل ينزله القوم. وتختص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المباءة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باستعمالات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أخرى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: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من الرحم: حيث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تبوّأ الولد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الغنم : منزلها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الذي تأوي إليه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وهناك معنى محدث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للمباءة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ينص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عليه المعجم العربي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الأساسي، وهو المكان المشبوه: أغلقت الشرطة هذا المنزل لأنه كان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مباءة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للرذيلة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هكذا يتبين أن المعنى الأصلي للفظة "بيئة" هو المنزل ،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ثم صارت تعني المكان الذي تتوافر فيه العوامل المناسبة لمعيشة كائن حي. وهذا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المدلول هو الذي يتحقق في مصطلح علم البيئة (دراسة علاقة البيئة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بالأحياء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).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لامراء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إذن في أن هذا المصطلح ينبني على امتداد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دلالي ملموس بين الوضع الأول والوضع الثاني، فقد احتفظ خلال رحلته من مجال المعجم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إلى مجال الاصطلاح بسمة المكانية وملازمتيها العيش والإقامة، هذه السمات التي تتجلى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وتتجسد في البيئة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المنزل إطاراً محصوراً يكاد يكون على الإنسان مقصوراً وفي البيئة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الوسط فضاء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أرحب وأوسع لأصناف شتى من الكائنات الحية. ويمكن وسم هذه العلاقة بعلاقة التقاطع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المنطقي، ويقصد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المناطقة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الصلة بين مفهومين لهما خصائص متماثلة. وجلي أن هذا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الاتصال الدلالي تأتى بالمجاز الذي قوامه المناسبة بين المعنيين. غير أنه مجاز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استقر في اللغة فصار حقيقة (وهذا هو النقل) حيث طغى الوضع الثاني على الأول الذي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يبدو أنه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تُنوسي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في التداول، وهذا شأن العديد من مفردات اللغة كالسيارة والقاطرة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والصوم والزكاة والحج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إلخ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هذا فيما يخص المصطلح العربي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منظوراً إليه من جهة تطوره الذاتي، أما إذا عقدنا مقارنة بينه وبين مقابله الأجنبي،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فإننا نخلص إلى أن الائتلاف هو السمة المهيمنة. ففي الحالتين نكاد نلمس ذات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الانتقال من المعنى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الأثالي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- حيث يتقارب المدلولان مفهوماً وما صدقاً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إلى المعنى الاصطلاحي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الراهن. وفي الحالتين تمَّ الانسياب من الدلالة المعجمية إلى المفهوم الاصطلاحي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انسيابا ً متناظراً قوامه احتفاظ المفهوم بطابعه المحسوس، ومروره من الخصوص إلى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العموم (وهذه إحدى العلاقات التي تندرج ضمن ما يسمى بالملاحظة) وإبرازُهُ الخاصية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المفهومية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الأساس وهي المسكن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lastRenderedPageBreak/>
        <w:t>على أن هذا الائتلاف لا ينفي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بعض الاختلاف بين المصطلحين فلَمَّا كانت الباءة في العربية تعني النكاح مثلما تعني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المنزل لأن من تزوج امرأة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بَوَّاَها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منزلاً (ولنستحضر كذلك المعنى المحدث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للمباءة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: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الماخور) كما أسلفنا، ولما كانت البيئة تتضمن خاصية التكاثر بين ساكنتها حسب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التعريف العلمي المتعارف،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ساغ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لنا إلى حدٍّ ما أن نعدّ مصطلح علم البيئة أشمل وأوفى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بالمقصود من نظيره الفرنسي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(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Ecologie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)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، وأقرب إلى حقيقة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الأشياء ، غير أن هذا الاستنتاج ما كان ليضع ويحطّ من قيمة المصطلح الفرنسي،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أوَّلاً لأن الشمولية والدقة المتناهية لا تتحققان وليس ضروريا أن تتحققا في كل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الاصطلاحات، وثانيا لأن هذا المصطلح يؤدي بنجاح وظيفته التواصلية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وهي بيت القصيد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سواء على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مستوى اللغة المتخصصة أو على مستوى اللغة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المشتركة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وفي هذا الباب، باب التداول، يطالعنا فرق آخر بين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المصطلحين. فنحن العرب نحافظ على البيئة، نحافظ عليها في كل الاستعمالات اللغوية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بينما يلجأ الفرنسيون إلى صيغ أخرى. فنحن نقول: المحافظة على البيئة بينما يقولون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Protection de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l’environnement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ولا يقولون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*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Protection de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l'eco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.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ذلك أن هذا المكون اللغوي الإغريقي لا يحظى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بالاستقلال المعجمي، فهو مجرد صدر (أو سابقة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=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Préfixe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)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دخيل على اللغة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الفرنسية ، ويظل وروده محصوراً في تصدر بضع مصطلحات علمية لا تخرج عن حقلين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اشتقاقيين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(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Economie</w:t>
      </w:r>
      <w:proofErr w:type="spellEnd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et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Ecologie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)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وبما أن لكل لغة آليات تعويض تحقق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التوازن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الإبلاغي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وتستنجد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بها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لسد ثغراتها التعبيرية ، كان لِزاماً اللجوء في هذه الحالة إلى لفظة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(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Environnement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)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التي اشتقت من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environ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ثم أفرزت هي الأخرى امتدادات اشتقاقية من قبيل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Environnemental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و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" </w:t>
      </w:r>
      <w:proofErr w:type="spellStart"/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Environnementaliste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" .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أما لفظة بيئة فحضورها أقوى وموقعها أمكن في التداول لأنها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عربية صميمة.وبذلك تبقى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النسقية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 الاصطلاحية مَوفورة مَصُونةً ها هنا فيما تضطرب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هنالك. وهذا الاختلاف إنما مَردَّه الفرق الجوهري بين نسقين لغويين يسودُ أحدَهما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الاشتقاق بينما ينتظم الآخر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الإلصاق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  <w:r w:rsidRPr="00F45850">
        <w:rPr>
          <w:rFonts w:ascii="Tahoma" w:eastAsia="Times New Roman" w:hAnsi="Tahoma" w:cs="Tahoma"/>
          <w:b/>
          <w:bCs/>
          <w:sz w:val="13"/>
          <w:szCs w:val="13"/>
        </w:rPr>
        <w:br/>
      </w:r>
    </w:p>
    <w:p w:rsidR="00F45850" w:rsidRPr="00F45850" w:rsidRDefault="00F45850" w:rsidP="00F458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458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pict>
          <v:rect id="_x0000_i1026" style="width:137.05pt;height:.75pt" o:hrpct="330" o:hralign="right" o:hrstd="t" o:hr="t" fillcolor="#aca899" stroked="f"/>
        </w:pict>
      </w:r>
    </w:p>
    <w:p w:rsidR="009D5D12" w:rsidRDefault="00F45850" w:rsidP="00F45850">
      <w:pPr>
        <w:rPr>
          <w:rFonts w:hint="cs"/>
        </w:rPr>
      </w:pPr>
      <w:hyperlink r:id="rId5" w:anchor="_ftnref1" w:tgtFrame="_blank" w:history="1">
        <w:r w:rsidRPr="00F45850">
          <w:rPr>
            <w:rFonts w:ascii="Tahoma" w:eastAsia="Times New Roman" w:hAnsi="Tahoma" w:cs="Akhbar MT"/>
            <w:b/>
            <w:bCs/>
            <w:color w:val="0066CC"/>
            <w:sz w:val="27"/>
          </w:rPr>
          <w:t>(</w:t>
        </w:r>
      </w:hyperlink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*)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أستاذ بالمدرسة العليا للأساتذة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 xml:space="preserve">، </w:t>
      </w:r>
      <w:proofErr w:type="spellStart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تطوان</w:t>
      </w:r>
      <w:proofErr w:type="spellEnd"/>
      <w:r w:rsidRPr="00F45850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>.</w:t>
      </w:r>
    </w:p>
    <w:sectPr w:rsidR="009D5D12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45850"/>
    <w:rsid w:val="000C309E"/>
    <w:rsid w:val="00755EE0"/>
    <w:rsid w:val="009D5D12"/>
    <w:rsid w:val="00C703F7"/>
    <w:rsid w:val="00F4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45850"/>
    <w:rPr>
      <w:strike w:val="0"/>
      <w:dstrike w:val="0"/>
      <w:color w:val="384E00"/>
      <w:u w:val="none"/>
      <w:effect w:val="none"/>
    </w:rPr>
  </w:style>
  <w:style w:type="character" w:styleId="a3">
    <w:name w:val="Strong"/>
    <w:basedOn w:val="a0"/>
    <w:uiPriority w:val="22"/>
    <w:qFormat/>
    <w:rsid w:val="00F45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3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abiclinguistics.net/vb/newthread.php?do=newthread&amp;f=5" TargetMode="External"/><Relationship Id="rId4" Type="http://schemas.openxmlformats.org/officeDocument/2006/relationships/hyperlink" Target="http://arabiclinguistics.net/vb/newthread.php?do=newthread&amp;f=5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2011-01-31T15:52:00Z</dcterms:created>
  <dcterms:modified xsi:type="dcterms:W3CDTF">2011-01-31T15:54:00Z</dcterms:modified>
</cp:coreProperties>
</file>