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761" w:type="pct"/>
        <w:jc w:val="center"/>
        <w:tblCellSpacing w:w="0" w:type="dxa"/>
        <w:tblBorders>
          <w:top w:val="single" w:sz="4" w:space="0" w:color="41230D"/>
          <w:left w:val="single" w:sz="4" w:space="0" w:color="41230D"/>
          <w:bottom w:val="single" w:sz="4" w:space="0" w:color="41230D"/>
          <w:right w:val="single" w:sz="4" w:space="0" w:color="41230D"/>
        </w:tblBorders>
        <w:shd w:val="clear" w:color="auto" w:fill="5E3C23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5"/>
      </w:tblGrid>
      <w:tr w:rsidR="0088307B" w:rsidRPr="0088307B" w:rsidTr="0088307B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5E3C23"/>
            </w:tcBorders>
            <w:shd w:val="clear" w:color="auto" w:fill="FFFFFF"/>
            <w:hideMark/>
          </w:tcPr>
          <w:p w:rsidR="0088307B" w:rsidRPr="0088307B" w:rsidRDefault="0088307B" w:rsidP="008830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E3C23"/>
                <w:sz w:val="24"/>
                <w:szCs w:val="24"/>
              </w:rPr>
            </w:pP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fldChar w:fldCharType="begin"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instrText xml:space="preserve"> HYPERLINK "http://arabeagreg2.site.voila.fr/pdf/ELATTAR.pdf" \t "_blank" </w:instrTex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fldChar w:fldCharType="separate"/>
            </w:r>
            <w:proofErr w:type="spellStart"/>
            <w:r w:rsidRPr="0088307B">
              <w:rPr>
                <w:rFonts w:ascii="Arial" w:eastAsia="Times New Roman" w:hAnsi="Arial" w:cs="Arabic Transparent"/>
                <w:b/>
                <w:bCs/>
                <w:color w:val="5E3C23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Arabic Transparent"/>
                <w:b/>
                <w:bCs/>
                <w:color w:val="5E3C23"/>
                <w:sz w:val="36"/>
                <w:szCs w:val="36"/>
                <w:rtl/>
              </w:rPr>
              <w:t xml:space="preserve"> ذلك المجهول</w:t>
            </w:r>
            <w:r w:rsidRPr="0088307B">
              <w:rPr>
                <w:rFonts w:ascii="Arial" w:eastAsia="Times New Roman" w:hAnsi="Arial" w:cs="Arabic Transparent"/>
                <w:b/>
                <w:bCs/>
                <w:color w:val="5E3C23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fldChar w:fldCharType="end"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hyperlink r:id="rId4" w:tgtFrame="_blank" w:history="1">
              <w:r w:rsidRPr="0088307B">
                <w:rPr>
                  <w:rFonts w:ascii="Arial" w:eastAsia="Times New Roman" w:hAnsi="Arial" w:cs="Arabic Transparent"/>
                  <w:b/>
                  <w:bCs/>
                  <w:color w:val="5E3C23"/>
                  <w:sz w:val="36"/>
                  <w:szCs w:val="36"/>
                  <w:rtl/>
                </w:rPr>
                <w:t>قراءة في</w:t>
              </w:r>
              <w:r w:rsidRPr="0088307B">
                <w:rPr>
                  <w:rFonts w:ascii="Arial" w:eastAsia="Times New Roman" w:hAnsi="Arial" w:cs="Arabic Transparent"/>
                  <w:b/>
                  <w:bCs/>
                  <w:color w:val="5E3C23"/>
                  <w:sz w:val="36"/>
                  <w:szCs w:val="36"/>
                </w:rPr>
                <w:t xml:space="preserve"> "</w:t>
              </w:r>
              <w:r w:rsidRPr="0088307B">
                <w:rPr>
                  <w:rFonts w:ascii="Arial" w:eastAsia="Times New Roman" w:hAnsi="Arial" w:cs="Arabic Transparent"/>
                  <w:b/>
                  <w:bCs/>
                  <w:color w:val="5E3C23"/>
                  <w:sz w:val="36"/>
                  <w:szCs w:val="36"/>
                  <w:rtl/>
                </w:rPr>
                <w:t>الرسالة</w:t>
              </w:r>
              <w:r w:rsidRPr="0088307B">
                <w:rPr>
                  <w:rFonts w:ascii="Arial" w:eastAsia="Times New Roman" w:hAnsi="Arial" w:cs="Arabic Transparent"/>
                  <w:b/>
                  <w:bCs/>
                  <w:color w:val="5E3C23"/>
                  <w:sz w:val="36"/>
                  <w:szCs w:val="36"/>
                </w:rPr>
                <w:t>"</w:t>
              </w:r>
            </w:hyperlink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hyperlink r:id="rId5" w:tgtFrame="_blank" w:history="1">
              <w:r w:rsidRPr="0088307B">
                <w:rPr>
                  <w:rFonts w:ascii="Arial" w:eastAsia="Times New Roman" w:hAnsi="Arial" w:cs="Traditional Arabic"/>
                  <w:b/>
                  <w:bCs/>
                  <w:color w:val="5E3C23"/>
                  <w:sz w:val="36"/>
                  <w:szCs w:val="36"/>
                  <w:rtl/>
                </w:rPr>
                <w:t>أ.م:مصطفى العطار</w:t>
              </w:r>
            </w:hyperlink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88307B" w:rsidRPr="0088307B" w:rsidRDefault="0088307B" w:rsidP="0088307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vanish/>
          <w:color w:val="5E3C23"/>
          <w:sz w:val="14"/>
          <w:szCs w:val="14"/>
          <w:rtl/>
          <w:lang/>
        </w:rPr>
      </w:pPr>
    </w:p>
    <w:tbl>
      <w:tblPr>
        <w:bidiVisual/>
        <w:tblW w:w="7366" w:type="dxa"/>
        <w:jc w:val="center"/>
        <w:tblCellSpacing w:w="0" w:type="dxa"/>
        <w:tblInd w:w="1084" w:type="dxa"/>
        <w:tblBorders>
          <w:top w:val="single" w:sz="4" w:space="0" w:color="41230D"/>
          <w:left w:val="single" w:sz="4" w:space="0" w:color="41230D"/>
          <w:bottom w:val="single" w:sz="4" w:space="0" w:color="41230D"/>
          <w:right w:val="single" w:sz="4" w:space="0" w:color="41230D"/>
        </w:tblBorders>
        <w:shd w:val="clear" w:color="auto" w:fill="5E3C23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34"/>
        <w:gridCol w:w="4932"/>
      </w:tblGrid>
      <w:tr w:rsidR="0088307B" w:rsidRPr="0088307B" w:rsidTr="0088307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5E3C23"/>
              <w:left w:val="single" w:sz="4" w:space="0" w:color="5E3C23"/>
              <w:bottom w:val="single" w:sz="4" w:space="0" w:color="5E3C23"/>
              <w:right w:val="single" w:sz="2" w:space="0" w:color="5E3C23"/>
            </w:tcBorders>
            <w:shd w:val="clear" w:color="auto" w:fill="5E3C23"/>
            <w:vAlign w:val="center"/>
            <w:hideMark/>
          </w:tcPr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color w:val="5E3C23"/>
                <w:sz w:val="13"/>
                <w:szCs w:val="13"/>
              </w:rPr>
            </w:pPr>
            <w:bookmarkStart w:id="0" w:name="post170865"/>
            <w:r>
              <w:rPr>
                <w:rFonts w:ascii="Tahoma" w:eastAsia="Times New Roman" w:hAnsi="Tahoma" w:cs="Tahoma"/>
                <w:noProof/>
                <w:color w:val="5E3C23"/>
                <w:sz w:val="13"/>
                <w:szCs w:val="13"/>
              </w:rPr>
              <w:drawing>
                <wp:inline distT="0" distB="0" distL="0" distR="0">
                  <wp:extent cx="95250" cy="102235"/>
                  <wp:effectExtent l="19050" t="0" r="0" b="0"/>
                  <wp:docPr id="25" name="صورة 25" descr="قد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قد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t xml:space="preserve">29-05-2010, 02:12 PM </w:t>
            </w:r>
          </w:p>
        </w:tc>
        <w:tc>
          <w:tcPr>
            <w:tcW w:w="0" w:type="auto"/>
            <w:tcBorders>
              <w:top w:val="single" w:sz="4" w:space="0" w:color="5E3C23"/>
              <w:left w:val="single" w:sz="2" w:space="0" w:color="5E3C23"/>
              <w:bottom w:val="single" w:sz="4" w:space="0" w:color="5E3C23"/>
              <w:right w:val="single" w:sz="4" w:space="0" w:color="5E3C23"/>
            </w:tcBorders>
            <w:shd w:val="clear" w:color="auto" w:fill="5E3C23"/>
            <w:vAlign w:val="center"/>
            <w:hideMark/>
          </w:tcPr>
          <w:p w:rsidR="0088307B" w:rsidRPr="0088307B" w:rsidRDefault="0088307B" w:rsidP="008830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E3C23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t>  #</w:t>
            </w:r>
            <w:bookmarkStart w:id="1" w:name="3"/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fldChar w:fldCharType="begin"/>
            </w:r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instrText xml:space="preserve"> HYPERLINK "http://www.almaktabah.net/vb/showpost.php?p=170865&amp;postcount=3" \t "new" </w:instrText>
            </w:r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fldChar w:fldCharType="separate"/>
            </w:r>
            <w:r w:rsidRPr="0088307B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3</w:t>
            </w:r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fldChar w:fldCharType="end"/>
            </w:r>
            <w:bookmarkEnd w:id="1"/>
            <w:r w:rsidRPr="0088307B">
              <w:rPr>
                <w:rFonts w:ascii="Tahoma" w:eastAsia="Times New Roman" w:hAnsi="Tahoma" w:cs="Tahoma"/>
                <w:color w:val="5E3C23"/>
                <w:sz w:val="13"/>
                <w:szCs w:val="13"/>
              </w:rPr>
              <w:t xml:space="preserve"> </w:t>
            </w:r>
          </w:p>
        </w:tc>
      </w:tr>
      <w:tr w:rsidR="0088307B" w:rsidRPr="0088307B" w:rsidTr="0088307B">
        <w:trPr>
          <w:tblCellSpacing w:w="0" w:type="dxa"/>
          <w:jc w:val="center"/>
        </w:trPr>
        <w:tc>
          <w:tcPr>
            <w:tcW w:w="2434" w:type="dxa"/>
            <w:tcBorders>
              <w:top w:val="single" w:sz="2" w:space="0" w:color="5E3C23"/>
              <w:left w:val="single" w:sz="4" w:space="0" w:color="5E3C23"/>
              <w:bottom w:val="single" w:sz="2" w:space="0" w:color="5E3C23"/>
              <w:right w:val="single" w:sz="4" w:space="0" w:color="5E3C23"/>
            </w:tcBorders>
            <w:shd w:val="clear" w:color="auto" w:fill="E5DFDA"/>
            <w:hideMark/>
          </w:tcPr>
          <w:p w:rsidR="0088307B" w:rsidRPr="0088307B" w:rsidRDefault="0088307B" w:rsidP="008830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E3C23"/>
              </w:rPr>
            </w:pPr>
            <w:hyperlink r:id="rId7" w:history="1">
              <w:r w:rsidRPr="0088307B">
                <w:rPr>
                  <w:rFonts w:ascii="Verdana" w:eastAsia="Times New Roman" w:hAnsi="Verdana" w:cs="Arial"/>
                  <w:b/>
                  <w:bCs/>
                  <w:color w:val="5E3C23"/>
                  <w:rtl/>
                </w:rPr>
                <w:t xml:space="preserve">إبراهيم </w:t>
              </w:r>
              <w:proofErr w:type="spellStart"/>
              <w:r w:rsidRPr="0088307B">
                <w:rPr>
                  <w:rFonts w:ascii="Verdana" w:eastAsia="Times New Roman" w:hAnsi="Verdana" w:cs="Arial"/>
                  <w:b/>
                  <w:bCs/>
                  <w:color w:val="5E3C23"/>
                  <w:rtl/>
                </w:rPr>
                <w:t>براهيمي</w:t>
              </w:r>
              <w:proofErr w:type="spellEnd"/>
            </w:hyperlink>
            <w:r w:rsidRPr="0088307B">
              <w:rPr>
                <w:rFonts w:ascii="Verdana" w:eastAsia="Times New Roman" w:hAnsi="Verdana" w:cs="Arial"/>
                <w:b/>
                <w:bCs/>
                <w:color w:val="5E3C23"/>
              </w:rPr>
              <w:t xml:space="preserve"> </w:t>
            </w:r>
            <w:r w:rsidRPr="0088307B">
              <w:rPr>
                <w:rFonts w:ascii="Verdana" w:eastAsia="Times New Roman" w:hAnsi="Verdana" w:cs="Arial"/>
                <w:b/>
                <w:bCs/>
                <w:color w:val="5E3C23"/>
              </w:rPr>
              <w:pict/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>وفقه الله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 </w:t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5E3C23"/>
                <w:sz w:val="13"/>
                <w:szCs w:val="13"/>
              </w:rPr>
              <w:drawing>
                <wp:inline distT="0" distB="0" distL="0" distR="0">
                  <wp:extent cx="1426210" cy="1155700"/>
                  <wp:effectExtent l="19050" t="0" r="2540" b="0"/>
                  <wp:docPr id="27" name="صورة 27" descr="الصورة الرمزية إبراهيم براهيمي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الصورة الرمزية إبراهيم براهيمي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 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>تاريخ التسجيل</w:t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: Dec 2008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>المشاركات: 13,037</w:t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 xml:space="preserve"> 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>المواضيع: 2668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>مشاركات: 10369</w:t>
            </w:r>
          </w:p>
          <w:tbl>
            <w:tblPr>
              <w:bidiVisual/>
              <w:tblW w:w="4750" w:type="pct"/>
              <w:tblCellSpacing w:w="7" w:type="dxa"/>
              <w:tblBorders>
                <w:top w:val="single" w:sz="4" w:space="0" w:color="41230D"/>
                <w:left w:val="single" w:sz="4" w:space="0" w:color="41230D"/>
                <w:bottom w:val="single" w:sz="4" w:space="0" w:color="41230D"/>
                <w:right w:val="single" w:sz="4" w:space="0" w:color="41230D"/>
              </w:tblBorders>
              <w:shd w:val="clear" w:color="auto" w:fill="5E3C23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170"/>
            </w:tblGrid>
            <w:tr w:rsidR="0088307B" w:rsidRPr="0088307B">
              <w:trPr>
                <w:tblCellSpacing w:w="7" w:type="dxa"/>
              </w:trPr>
              <w:tc>
                <w:tcPr>
                  <w:tcW w:w="0" w:type="auto"/>
                  <w:shd w:val="clear" w:color="auto" w:fill="5E3C23"/>
                  <w:vAlign w:val="center"/>
                  <w:hideMark/>
                </w:tcPr>
                <w:p w:rsidR="0088307B" w:rsidRPr="0088307B" w:rsidRDefault="0088307B" w:rsidP="0088307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5E3C23"/>
                      <w:sz w:val="13"/>
                      <w:szCs w:val="13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noProof/>
                      <w:color w:val="5E3C23"/>
                      <w:sz w:val="13"/>
                      <w:szCs w:val="13"/>
                    </w:rPr>
                    <w:drawing>
                      <wp:inline distT="0" distB="0" distL="0" distR="0">
                        <wp:extent cx="66040" cy="36830"/>
                        <wp:effectExtent l="19050" t="0" r="0" b="0"/>
                        <wp:docPr id="28" name="collapseimg_postbit2_170865" descr="http://www.almaktabah.net/vb/a7sas2/buttons/sortasc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llapseimg_postbit2_170865" descr="http://www.almaktabah.net/vb/a7sas2/buttons/sortasc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" cy="36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307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3"/>
                      <w:szCs w:val="13"/>
                      <w:rtl/>
                    </w:rPr>
                    <w:t>من مواضيعي</w:t>
                  </w:r>
                  <w:r w:rsidRPr="0088307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8307B" w:rsidRPr="0088307B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307B" w:rsidRPr="0088307B" w:rsidRDefault="0088307B" w:rsidP="0088307B">
                  <w:pPr>
                    <w:shd w:val="clear" w:color="auto" w:fill="E5DFDA"/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5E3C23"/>
                    </w:rPr>
                  </w:pP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5E3C23"/>
                    </w:rPr>
                    <w:t xml:space="preserve">  </w:t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5E3C23"/>
                    </w:rPr>
                    <w:pict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5E3C23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br/>
                  </w:r>
                  <w:r w:rsidRPr="0088307B">
                    <w:rPr>
                      <w:rFonts w:ascii="Verdana" w:eastAsia="Times New Roman" w:hAnsi="Verdana" w:cs="Arial"/>
                      <w:b/>
                      <w:bCs/>
                      <w:color w:val="FF000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4" type="#_x0000_t75" style="width:1in;height:1in" o:ole="">
                        <v:imagedata r:id="rId11" o:title=""/>
                      </v:shape>
                      <w:control r:id="rId12" w:name="كائن 30" w:shapeid="_x0000_i1054"/>
                    </w:object>
                  </w:r>
                </w:p>
              </w:tc>
            </w:tr>
          </w:tbl>
          <w:p w:rsidR="0088307B" w:rsidRPr="0088307B" w:rsidRDefault="0088307B" w:rsidP="008830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E3C23"/>
              </w:rPr>
            </w:pPr>
          </w:p>
        </w:tc>
        <w:tc>
          <w:tcPr>
            <w:tcW w:w="0" w:type="auto"/>
            <w:tcBorders>
              <w:right w:val="single" w:sz="4" w:space="0" w:color="5E3C23"/>
            </w:tcBorders>
            <w:shd w:val="clear" w:color="auto" w:fill="FFFFFF"/>
            <w:hideMark/>
          </w:tcPr>
          <w:p w:rsidR="0088307B" w:rsidRPr="0088307B" w:rsidRDefault="0088307B" w:rsidP="008830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153670" cy="153670"/>
                  <wp:effectExtent l="19050" t="0" r="0" b="0"/>
                  <wp:docPr id="31" name="صورة 31" descr="افتراض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افتراض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rtl/>
              </w:rPr>
              <w:t xml:space="preserve">رد: </w:t>
            </w:r>
            <w:proofErr w:type="spellStart"/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rtl/>
              </w:rPr>
              <w:t>لودفيج</w:t>
            </w:r>
            <w:proofErr w:type="spellEnd"/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rtl/>
              </w:rPr>
              <w:t xml:space="preserve"> </w:t>
            </w:r>
            <w:proofErr w:type="spellStart"/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rtl/>
              </w:rPr>
              <w:t>فتجنشتاين</w:t>
            </w:r>
            <w:proofErr w:type="spellEnd"/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rtl/>
              </w:rPr>
              <w:t xml:space="preserve"> ذلك</w:t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 xml:space="preserve"> </w:t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rtl/>
              </w:rPr>
              <w:t>المجهول</w:t>
            </w:r>
            <w:r w:rsidRPr="0088307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 xml:space="preserve"> 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E3C23"/>
              </w:rPr>
            </w:pPr>
            <w:r w:rsidRPr="0088307B">
              <w:rPr>
                <w:rFonts w:ascii="Verdana" w:eastAsia="Times New Roman" w:hAnsi="Verdana" w:cs="Arial"/>
                <w:b/>
                <w:bCs/>
                <w:color w:val="5E3C23"/>
              </w:rPr>
              <w:pict>
                <v:rect id="_x0000_i1056" style="width:0;height:.75pt" o:hralign="center" o:hrstd="t" o:hrnoshade="t" o:hr="t" fillcolor="#5e3c23" stroked="f"/>
              </w:pict>
            </w:r>
          </w:p>
          <w:p w:rsidR="0088307B" w:rsidRPr="0088307B" w:rsidRDefault="0088307B" w:rsidP="008830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E3C23"/>
                <w:sz w:val="24"/>
                <w:szCs w:val="24"/>
              </w:rPr>
            </w:pP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ذلك المجهول : قراءة في "الرسالة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"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مقدمة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لما كانت المعرفة العلمية متوثبة جامحة، كان لزاما عليها محق الأفكار المغرقة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في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الوثوقية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دمغ المسلمات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الدوغماتية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التي تستهتر بمنطق المجاوزة و التخطي لأنه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حسب رأيها تسيب مغرض على سلطة اليقيني و المقدس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قليل من العلماء من راجع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أوراقه و أعاد ترتيبها من جديد حتى اكتشف زيفها و وهمها الذي ران على جهازه المعرفي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لسنين طوال و أصابه بالعقم. كذلك كان شأن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المفرد العلم الذي خاصم فلسفة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الذريين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المناطقة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بعدما كان التلميذ البار الذي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متح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من معينها متشربا أسس المنطق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الذي يملأ العالم، و فلسفة اللغة المثالية، و قوانين الفيزياء، مدافعا عن هذه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العلوم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طروحاتها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كأنها نهايات المعرفة و ما سوى ذلك ضرب من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اليوتوبيا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الماورائية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لكن العقل النقدي الفاحص و جبرية التطور تفرض على المعرفة أن تنشط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 عقالها فتستحيل الذهنية المتكلسة عقلا نزقا لا يعرف نقطة النهاية التي تختصر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الزمن الفكري في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طروحات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متحجرة توقف الآلة المنتجة للمعرفة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وقمين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بالاحترام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التبجيل من أحدث قطيعة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ابستملوجية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في ترسانة الأفكار التي دافع عنها بحرقة، فجاءت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طروحات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المرحلة الثانية مفارقة تمام المفارقة لرؤية العالم و الأشياء كما تم تبنيها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في الفلسفة العلمية الأولى، فليس عيبا أن نجد فيلسوفا لغويا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كـ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يغاير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منطقه الأول مغايرة شديدة، فهذا مؤشر على توقد ذهنه و قدرته على توليد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إواليات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المعرفة العلمية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لهذه الحيثيات تكمن صعوبة هذا العمل ،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فطروحات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موسومة بالزئبقية، لذلك ليس غريبا أن تطالعنا في الصفحات الأولى من هذا البحث ملامح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الرجل العلمية و التي تتشكل تقاسيمها في كل محاولة تروم سبر أغواره فقراءة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منتوج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) تبدو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متفلتة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سرعان ما ينفرط عقدها كالتي نقضت غزلها من بعد قوة، فنحن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نتعامل مع كتاب (رسالة منطقية فلسفية) ذي الخلفية التجريبية المنطقية حتى إذا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استأنسنا بمنطق الرجل و طريقة تفكيره نصدم بعمل وازن يضرب الثوابت و ينتقد أصولها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خلفياتها، ذاك هو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 xml:space="preserve">كتاب (أبحاث فلسفية) الموغل في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البراغماتية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فلسفة اللغة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العادية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رسالة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القراءة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المتفلتة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لا مرية في أن القارئ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غير المتمرس ليجد عنتا و مشقة كبيرين في التعاطي مع عمل متفرد، مثقل بالرموز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المنطقية، و نزاع إلى التركيز و التكثيف في عباراته حتى لم يبق للحشو موطن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الكتاب، و كأننا أمام دراسة رقمية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يحق للقارئ الآن أن يطرح سؤاله المشروع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هذا: كيف لهذه الجمل المعدودات أن تقدم تفسيرا شموليا لماهية العالم؟ بل ما سر هذا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التناول الوازن لجوهر اللغة، و أسس المنطق و الرياضيات و الفكر الفلسفي عموما؟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إن مساءلات كهذه، يزول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غبشها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الثاوي في الذهن حينما ندرك كنه شخصية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)،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نغوص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في استبطان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بيوغرافيا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الرجل، و سبر حفريات هذا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المنطيق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فتوقد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ذهنه، و صفاء عقله، و اعتزاله الناس،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أقانيم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جعلت من شخصيته العلمية مادة خصبة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للنقاد يبحثون في جغرافيتها الفلسفية، و يحكمون عليها أحكاما متطرفة تتراوح بين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التقريظ أو المدح، والتوبيخ أو الذم، فهو تارة نبي من أنبياء الفلسفة الذي أعاد لها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رونقها و بهاءها، و تارة أخرى أكبر تجل من تجليات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اللافلسفة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اللاحكمة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حيث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الإسفاف و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الهبوط. إلا أن كتابة (رسالة منطقية فلسفية) يفند هذه الادعاءات المغرضة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التي تصدر عن جهل كبير بآليات الاشتغال التي يوظفها الرجل في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طروحاته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الفلسفية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اللغوية، و تطبيقاته للمنطق الرمزي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في هذا الصدد يقول (ماكس ويل): " مهما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قال الإنسان عن (رسالة)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الفلسفية المنطقية، فلا بد، على الأقل، أن يتبين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أصالتها، و الطريقة غير العادية التي يستخدمها المؤلف في عرض أفكاره ... إن الإنسان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يستطيع أن يقول –دون مبالغة- أن كل الفلسفة الإنجليزية التالية لظهور (الرسالة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)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كانت متضمنة في (الرسالة) نفسها على نحو أو آخر"1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يفيد منطوق هذا الكلام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الفلسفة الإنجليزية بعد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) لا تعدو كونها فلسفة تكرارية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اجترارية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لأفكار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هذا الأخير، و من الصعوبة تحديد أو وصف طبيعة التأثير الذي مورس على الفلسفة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المعاصرة، فلنأخذ مثلا، مبدأ التحقق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Principe de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Vérification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فهو قبل تبنيه من قبل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فلاسفة الوضعية المنطقية،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شليك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آير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...) فإن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كان له قصب السبق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رسالته) عندما أعلن أن القضية لا تتحقق إلا بمقارنتها بالواقع الخارجي، و هو ما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تطور في فلسفة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آير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إلى ما يعرف بالتحقيق الفعلي و التحقيق الممكن، أضف إلى ذلك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تيار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الوضعية المنطقية الجديدة يدين بنجاحه الفلسفي الباهر إلى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الذي لم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يكن يوما من أعضاء الوضعية المنطقية، و مخطئ من يصنفه ضمن هذا التيار، أو داخل حلقة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فيينا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فهو ينتمي إلى مجموعة الذريين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المناطقة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إلى جانب أستاذه (راسل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B.Russel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و الواقع أن كل الأعمال التي ألفت عن "(رسالة)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"، لا تزال إلى حد الآن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قاصرة إلى حد ما عن تعريتها و كشف النقاب عن مضامينها، فمحاولة استكشاف مفاتيحها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مغامرة محفوفة بالمخاطر، و ذلك في غياب عدة فلسفية قبلية تشكل معينا متدفقا يسعفنا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في فهم (الرسالة) و رأب الصدع بين أفكارها الفلسفية الغامضة، مما يسوغ صعوبتها لدى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القارئ الذي يفقد صبره أحيانا عندما يرى شحناتها الدلالية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تتفلت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تتطاير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دوالها، فليس هناك شرح أو حاشية أو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ميتانص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يساعدنا على إعادة بناء أفكارها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الفلسفية المنطقية الموغلة في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الوثوقية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الدوغماتية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هكذا فمقولة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"كل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ما يمكن قوله يمكن قوله بوضوح"2 عبارة مضللة تخفي وراءها هذا الوضوح، و تجعل بدله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غموضا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سديميا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تؤشر عليه الألفاظ المضغوطة و المعتمة، و ليس هذا الكلام مدعاة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للاستسلام و تبريرا للإحباط الذي قد يصيب الدارس أمام هذا العمل الذي لا طاقة له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بل مسوغ للعمل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الدؤوب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و مساءلة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الذهن من أجل تحدي هذه الصعوبة و تذويب العقبات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المعرفية، و احتضان هذا العمل بكل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حميمية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حتى يكون بمقدورنا تتبع هذا البناء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الموسيقي الذي يخضع له الكتاب، و إن كان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نفسه يقر في مقدمة كتابه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Tractatus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Logico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Philisophicus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بصعوبة عمله الذي يختلف في نسقه عن الأعمال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المدرسية التعليمية، بمعنى أن كتابة موجه إلى نوعية خاصة من القراء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الهدف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الذي يرمي إليه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من (رسالته) أن تفهم أفكاره من قبل قارئ واحد، يحس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أثناء قراءته، بالمتعة الفلسفية الصوفية التي يولدها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التماهي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مع أفكاره و التي يمكن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تلخيصها فيما يلي: (ما يمكن قوله على الإطلاق يمكن قوله بوضوح، و ما لا نستطيع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نتحدث عنه، فلا بد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نصمت عنه). و من هنا جاء نبذه للميتافيزيقا التي تعتبر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قضاياها عديمة المعنى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Insensés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إن لم تكن كاذبة، فهو ينهي كتابه بالعبارة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المشهورة: "حيثما لا نستطيع الكلام ينبغي أن نصمت"3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تأسيسا عل ما سبق، يمكن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القول : (إن الرسالة المنطقية الفلسفية) لا تعدو كونها عصارة عملية حساب تأويلي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جاءت نتائجها مركزة دون بيان لآليات اشتغالها، و قد غابت هذه الآليات، و ليس لدينا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من وسيلة للبرهنة عليها سوى هذه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 xml:space="preserve">القراءات الخجولة التي يقدمها بعض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المناطقة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بشكل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ملبس و غير شفاف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و إذا كانت التأويلات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الشروحات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التي طالت أفكار (الرسالة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قد شابها من خلط و سوء فهم لدى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برتراند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راسل أستاذ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)، و هما اللذان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يشكلان تيار الذرية المنطقية إلى جانب آخرين، فما بال القراء العاديين ذوي الخبرات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المحدودة في عالم المنطق الرياضي الصرف؟ أو ما بال الترجمات العديدة التي تناولت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هذا الكتاب: (إنجليزية، فرنسية، عربية...) دون التقيد بالأصل الألماني؟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!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عملية الترجمة ليست بالبريئة في نقلها للأفكار، أضف إلى ذلك تعدد المفاهيم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تداخلها، و ما دامت الترجمة عملية اجتهاد تروم نقل مدلولات نص ما من لغة إلى لغة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أخرى، فإنها غير دقيقة لما كانت لكل لغة حمولتها الثقافية و الفكرية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...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لنأخذ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مثلا ترجمة (د.عزمي إسلام) فهي منقولة عن اللغة الإنجليزية، هذه الأخيرة التي نقلت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بدورها عن النسخة الألمانية الأصل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على الرغم من هذه الصعوبات التي تعترضنا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حينما ننزع إلى فلسفة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في شقها الأول، فإننا ندرك جدتها و أصالتها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الفكر الفلسفي المعاصر، فهي من جهة استكمال للنقاش الذي بدأه كل من (راسل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فريجه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Frege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)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و هي من جهة أخرى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طروحات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فلسفية دسمة تلقفها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أنصار الوضعية المنطقية ، أو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الوضعية الجديدة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Neo positivism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بتحمس كبير، ذلك أن الذرية المنطقية ما كان لها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تتطور لولا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تلميذ (راسل) الذي قدم الشكل الصرف لفكرة الأنا وحدية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Solipcism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 مع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): " تم الوصول إلى اللحظة الحاسمة فيما يتعلق بالفلسفة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الدلالية فرسالته واحدة من بين الأعمال الفلسفية الأكثر تفردا، خصوصا في طريقة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عرضها التي تشتغل على المجاز و الحدس، و التي تطمح إلى التطرف الصارم في أفكارها"4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فلا كلام إلا عما تقره الملاحظة العينية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الأمبريقية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الصارمة، و ما يقبله المنطق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السليم، أما الميتافيزيقا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الماورائية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اليوتوبيا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اللامادية، و التي تتجاوز عالم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المادة إلى عالم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اللامادة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فهي مرفوضة تماما، و خالية من المعنى لأنها سليلة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الفلسفة المثالية الألمانية و (الخرافات) الأفلاطونية، و المنطق الأرسطي العقيم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هو ما سيتم إيضاحه عندما سنتحدث عن جذور الوضعية المنطقية و تشكل حلقة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فيينا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تدين بأفكارها العلمية إلى (أوكست كونت) رائد الفلسفة الوضعية الذي يتنكر للأفكار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المجردة، و لا يقر إلا بالعالم المادي المحسوس معترفا بأن العلم يعتبر الأداة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الصحيحة للارتقاء بالإنسانية إلى أسمى مراحلها، متجاوزا الغيبيات، و واضعا أصول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منهج للبحث أطلق عليه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الميتودولوجيا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Méthodologie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lastRenderedPageBreak/>
              <w:br/>
              <w:t xml:space="preserve">2.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وظيفة الفلسفة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 الرمزي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إذا كانت التجربة هي أساس الفكر العلمي الرصين، فإن الخوض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في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اللامرئي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أو المطلق يعتبر مشكلا زائفا ما دام لم يوضع تحت مشرحة التجريب التي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تشتغل بمناهج علوم الطبيعة، هذه التي ترى أن الواقع لا يمكن إدراكه إلا بمناهج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العلوم التجريبية الصرفة حيث الملاحظة العينية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من ثم فوظيفة الفلسفة قد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انزلقت عن دورها التقليدي، فهي ليست تفسيرا للعالم و الكون، و هي ليست خوضا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الفيزياء و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الميتافيزياء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ولكنها تنحصر في تحليل مفاهيم العلم الطبيعي، أو في إجراء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تركيب عام للنتائج التي تتوصل إليها علوم الطبيعة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هذا الموقف هو ما اعتبره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بؤرة حديثة في مرحلته الأولى (الرسالة)، دون أن نغفل بان له جذورا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تاريخية ضاربة في عمق التفكير الإنجليزي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الأمبريقي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ابتداء من (جون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لوك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)، مرورا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بباركلي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) و انتهاء (بدافيد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هيوم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إمام التجريبيين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ما يعاب على الفلسفة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التقليدية هو أنها سقطت في فخ سوء استخدام اللغة، فكانت مشكلاتها زائفة أو خالية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المعنى، لأنها اتخذت من اللغة العادية وسيلة لتفسير الكون، و بالتالي كانت لغة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فجة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ملتبسة و غير شفافة، تخفي و تضلل الحقائق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نستنتج، إذن، أن أول خطوة تعهد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الفلسفة هي تخليص هذه اللغة من شوائبها و تشذيبها من نواقصها حتى تغدو لغة منطقية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صافية أقرب إلى لغة المنطق و الرياضيات، و هي لغة رمزية مضبوطة تتخذ من المنطق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الرمزي آلية للاشتغال، و هو منطق لا يعبأ بالمحتوى بقدر ما يعنى ببنية المعرفة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صورتها الخارجية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يقول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رايشنباخ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"ليست الصياغة الرمزية أداة لحل المشكلات فحسب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ولكنها توضح المعاني، و تزيد القدرة على ممارسة التفكير المنطقي، فضلا عن ذلك فقد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وجد المنطق الرمزي ميدانا هاما تطبق نتائجه عليه، هو التحليل المنطقي للغة"5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فبالمنطق الرمزي عرفت العلوم المضبوطة نجاحا باهرا بعد استقلالها عن الفلسفة،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فأنشأت لنفسها لغة علمية منطقية تهتم بصور القضايا لا بمضمونها، قاطعة بذلك العلاقة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مع النطق الأرسطي العقيم الذي يستخدم اللغة العادية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بمعراتها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عيوبها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لقد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"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جعلت بعض الأوساط الفلسفية المنتصرة للمنطق الرياضي الحديث، جعلت منه أساسا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للفلسفة من وجهة نظرها، بل الفلسفة بحذافيرها ابتداء من منشئ المنطق (راسل)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تلاميذه في انجلترا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)"6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إذا كان (أرسطو) رائد المنطق التقليدي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القديم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حتى حدود القرن التاسع عشر، فإن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ليبنز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Leibniz)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يعتبر إمام المنطق الرمزي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الحديث، و الذي يسعى إلى ابتكار لغة شاملة تشبه لغة العلوم في دقتها و عقلانيتها،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كان هذا مشروعا نظريا لم يجد طريقه إلى التداول، مما يفسر عدول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عن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خرافة اللغة المثالية و ذلك فيما يعرف بالانقلاب النوعي الذي حدث لأفكاره الأولى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كتابه الثاني: (أبحاث فلسفية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Investigations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Philosophiques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.(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هكذا - إذن- سنصل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إلى لغة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منتقاه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تزول معها المشاكل الفلسفية و التي ستختفي بمجرد بيان أنها أخطاء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سوء فهم لمنطق لغتنا العادية، لأن هذه الأخيرة : "تخلط بين الشكل النحوي و الشكل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المنطقي، و من هنا كانت مصدرا مستمرا لخلط الأمور، فابتغاء التحرر من هذا الخلط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ينبغي للفلسفة أن تضع لنفسها لغة سليمة، ستكون هي اللغة المثالية التي يتطابق فيها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الشكل النحوي مع الشكل المنطقي"7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من هنا نشأت الفلسفية التحليلية كمنهج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لتحليل الأفكار و توضيح المشكلات الفلسفية التي إذا ما وضع معظمها تحت مشرحة النقد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التحليل زال عنها لبسها و غموضها، و اتضح أنها مشكلات زائفة، أو ليست بمشكلات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الأصل، و هو ما جعل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مور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) يقر بصراحة بأن اللغة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العادية في كثير من الأحيان تخطئ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التعبير : " فاللغة لا تعطينا وسيلة للإشارة إلى موضوعات مثل (أزرق) و (أخضر)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حلو)، إلا بان تطلق عليها اسم (إحساسات)، و هذا ما يضللنا حينما نحاول أن نفكر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العلاقات بين الشعور و موضوعات الشعور"8، فسؤال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المناطقة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الذريين عن ماهية اللغة لم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يكن عبثيا، و لم تكن الإجابة عنه أشبه بالإجابات التقليدية التي ترى في اللغة بناء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لفظيا تشير كل لفظة فيه إلى مقابلاتها في العالم الخارجي، أو هي وسيلة من وسائل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التواصل نستخدمها في قضاء حاجاتنا و أغراضنا كما يذهب إلى ذلك ابن جني، مثلا، حينما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يعتبر اللغة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أصواتا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يعبر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كل قوم عن أغراضهم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ليست اللغة لا هذا و لا ذاك،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إنما هي : " بناء مثالي مقفل على نفسه، قذف بمفاتيحه كلها في قاع المحيط، فلا نعرف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منه فكاكا"9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إن التصور الذي جاء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للفلسفة و طبيعتها هو حصر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وظيفتها في تحليل اللغة فقط- كما رأينا- بالإضافة إلى رفض التراكيب و الأنساق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النظرية الفلسفية، و دورها الرئيسي هو تحليل عبارات اللغة و تعريتها باعتبارها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قوالب صبت فيها الأفكار الفلسفية، فالفلسفة عبارة عن : "عملية نشاط أو فاعلية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Activity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يقوم فيها الفيلسوف بتحديد القضايا ذات المعنى، و ربطها بالواقع و استبعاد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القضايا الفارغة من المعنى، مما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ينتج عنه استبعاد القضايا الميتافيزيقية، و عدم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إضافة عملية التحليل أي جديد إلى معرفتنا" 10 ، و يراد بالتحليل تقسيم اللغة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قضايا مركبة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Complexes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 أخرى ذرية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Atomistes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أو جزئية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Elémentaires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 تبعا لنفس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التحليل يقسم العالم إلى وقائع مركبة و وقائع أبسط منها أو ذرية، و هو ما يعرف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بالنظرية التصويرية للغة التي تعتبر القضية رسما للوجود الخارجي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نخلص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القول: إن الفلسفة لا تقدم تفسيرا للعالم، و تنحصر مهمتها في عملية التحليل التي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تضيف إلى معرفتنا شيئا، و لقد كان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ذا حساسية مفرطة تجاه أي محاولة لربط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الفلسفة بالتفسير عندما أعلن أن المهمة الوحيدة المتبقية للفلسفة هي تحليل اللغة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توضيح قضايا الفلسفة، يقول: "إن الفلسفة لا تعتبر علما من العلوم الطبيعية، كلمة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فلسفة يجب أن تعني شيئا إما أعلى أو أدنى من العلوم الطبيعية لا علما يصنف معها"11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هكذا - إذن- تم إقصاء الفلسفة من خانة العلوم الطبيعية الصرفة، و تم الوصول مع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-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–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فى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اللحظة الحاسمة فيما يتعلق باعتباراتنا حول الفلسفة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الدلالية.(فرسالته) واحدة من الأعمال الفلسفية الأكثر غرابة و فرادة، و داخل متنها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نعثر على الأفكار الجوهرية للفلسفة الدلالية التي تدعي أن اللغة هي الهدف الوحيد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للبحث الفلسفي، و الدور الذي تضطلع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الفلسفة هو الاقتصار على تفسير المعنى داخل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العلم، و كل تخطي لهذه الحدود يعتبر ميتافيزيقا خالية من المعنى12،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«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Dépourvues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de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sens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»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هي الأفكار التي سيطورها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كارناب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Carnap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في مشروعه داخل الوضعية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إن ما يمكن أن يذيل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هذا الموضوع هو أن الفلسفة ، ليست مذهبا أو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عقيدة، و لكنها فاعلية، و النتائج التي تتوصل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إليها الفلسفة ليست هي مجموع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الفلسفية، بل هي القضايا الواضحة، و بالتالي الإقصاء الصارم للأفكار الغامضة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الملبسة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Trouble et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Floue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 التي ليس من المعقول الإجابة عنها، لأنها أفكار ليست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خاطئة و حسب، و لكنها خالية من المعنى إنها أفكار مجوفة ناتجة عن جهلنا بمنطق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لغتنا13، و مهمة الفلسفة هي التوضيح المنطقي للأفكار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Le but de la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Philosophie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est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la clarification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logique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de la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pensée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 إن كانت هذه المهمة حسب رأي الكثيرين،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منهم الدكتور عبد الرحمن بدوي، أمرا لا يستطيع أن يقر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أحد من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الفلاسفة على طول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تاريخها، و لا يمكن للفيلسوف أن ينزل بمهمة الفلسفة إلى هذا الدور التافه و الطفيلي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الذي يضرب في وظيفتها الأساسية التي أقرها التاريخ منذ أفلاطون، و أرسطو...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غيرهما إلى الآن، و لولا خشية السقوط في الأحكام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القيمية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الانطباعية، لقلنا إن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وظيفة الفلسفة، كما يراها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و من شايعه، وظيفة شاذة تضرب الثوابت الفلسفية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في الصميم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3.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الواقعة الذرية و القضية البسيطة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إذا كانت فلسفة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التحليل لدى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تروم تفكيك اللغة عبر البحث عن آلياتها المنطقية و قواعدها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الصارمة حتى نميز فيها الأفكار ذوات المعنى من الأفكار الخالية من المعنى، فإن هذا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يجرنا إلى الحديث عن الوقائع التي يمكن أن يحل إليها العالم، و كذا القضايا التي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تفكك إليها اللغة، فالعالم مركب و ليس بسيطا، و هو ليس كلا واحدا، بل وقائع منحلة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إلى أجزاء و لكنها مترابطة بأنظمة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علائقية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قبل حديث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عن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المركبة و الجزئية، يتحدث عن العالم و عن مكوناته، لأن وجود الوقائع الذرية أسبق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وجود القضايا، بغض النظر عن صدقها أو كذبها، لذلك نجد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يبدأ (رسالته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بالعبارة الأولى التي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تشير إلى أن (العالم جميع ما هنالك)، ثم : (العالم هو مجموع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الوقائع لا الأشياء). و انطلاقا من هاتين العبارتين، سوف نخوض في التمييز بين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الواقعة و ما يمكن أن تنحل إليه من أشياء، مع العلم أن الوقائع هي العناصر الأولى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التي ينتهي إليها تحليلنا للعالم، و مع ذلك فهي تنحل بدورها إلى أشياء ليس لها وجود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إلا عندما تكون داخلة في تكوين واقعة معينة، "فجميع الأشياء التي أمامنا، و التي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يتكون منها العالم تدخل في علاقات مع بعضها البعض، و تشكل في مجملها الوقائع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المركبة و الذرية، و الوقائع الذرية تتكون من شيئين يرتبطان بعلاقة معينة، فقد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استخدم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في مواضيع متعددة الرمز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(a R b)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أي أ في علاقة مع ب للإشارة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إلى الوقائع الذرية"14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فإذا كان الشيء قائما بذاته: كتاب، طاولة ... فإن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الواقعة بناء أو نسق يتألف من ارتباط تلك الأشياء فيما بينها بعلاقة ما (الكتاب فوق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الطاولة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تنقسم الوقائع إلى قسمين: واقعة مركبة و واقعة ذرية بسيطة، و هذه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الأخيرة تمثل النهايات التي يمكن أن يصل إليها التحليل، لأن الواقعة المركبة هي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التي يمكن أن تنحل إلى وقائع تسمى بالوقائع الذرية، و هي تمثل النهايات التي يمكن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أن يصل إليها التحليل. والواقعة الذرية هي التي تنحل إلى أشياء تدخل في تركيبها،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كأن نقول مثلا: (طائرة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ورقية) فالورق داخل في تركيب الطائرة، كما هو الحال بالنسبة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للذرة التي تدخل في تركيبها إليكترونات و بروتونات لا نستطيع الفصل بينها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أما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العلاقات التي تربط الأشياء في العالم فهي علاقات منطقية لأن "المنطق يملأ العالم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يتخلله، و حدود العالم هي حدوده أيضا"15، و هذه البنية المشتركة التي تشكلها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الأشياء في علاقاتها مع بعضها هي ما يطلق عليها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" البناء المنطقي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للعالم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The Logical Structure of the World/".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لعل القارئ محق في تساؤله عن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السبب الذي دفع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إلى تقسيم العالم إلى وقائع ذرية نهائية تشكل بنيتها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أشياء لا وجود لها إلا في نسق علائقي، ذلك أن الداعي إلى هذه الوقائع الذرية هو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وجود وحدات أو عناصر أولية تنحل إليها اللغة، أي قضايا ذرية يتوقف صدقها أو كذبها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على وجود أو عدم وجود الوقائع الذرية. فما الذي يعنيه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بالقضايا الذرية؟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ما هي الوحدات أو العناصر التي تنحل إليها هذه القضايا ؟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اعتبر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دائما أن القضايا اللغوية الأولية أصغر وحدة دالة، و التي لا يمكن أن نفككها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قضايا أبسط منها، بل فقط يمكن أن تحلل إلى مكوناتها من الأسماء التي ترمز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الأشياء، و تبعا لذلك فإن الوقائع هي المعبرة عن المعنى و ليس الأسماء، ذلك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الاسم المجرد المنبت و المعزول عن قضيته لا يمكن أن يدل على ما يرمز إليه في الواقع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إلا إذا كان داخلا في تركيب القضية، آنذاك يمكن أن نتحدث عن معنى لغوي للاسم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لما كانت الوقائع مقياسا لقيمة الصدق في القضية، وجب " أن تكون القضايا التي تصور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الوقائع إما كاذبة أو خالية من المعنى، و هو الأساس الذي انطلق منه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رفضه للميتافيزيقا"16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تعريف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للغة بوصفها مجموعة من القضايا،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جعلنا نبحث في جزيئات هذه القضايا التي هي الألفاظ أو الكلمات التي أسميها بعلامة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القضية"17 و علامة القضية تتكون من عدة علامات بعضها ما نسميه الأسماء، و هي التي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تعين الأشياء و تسميها، و بعضها لا يسمى شيئا، و إنما تكون وظيفته خلق روابط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علائقية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بين هذه الأسماء، أي تصوير الطريقة التي تترابط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الأشياء في الواقع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الخارجي، مما يجعلنا نطلق على علامات النوع الأول: الكلمات الشيئية، أي التي تعين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الأشياء و تشير إليها. أما النوع الثاني فهو ما يسمى في المنطق بالألفاظ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العلائقية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أو البنائية، أي التي تقوم بينها روابط، و "علامة القضية قوامها كون عناصرها – أي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كلماتها – مترابطة فيما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بينها بطريقة معينة، و علامة القضية هي في ذاتها واقعة"18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نفهم من هذه العبارة أن علامة القضية هي ذلكم الترابط بين ألفاظها المشكلة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لنسقها، بحيث يصبح لها معنى و دلالة، و إلا استحال الأمر إلى مجموعة مفككة من ركام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 الأسماء، فيغيب المعنى وسط هذا الركام. فالمقطوعة الموسيقية، على سبيل المثال،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لا تغدو ذات معنى إلا إذا كانت أجزاؤها منسجمة و مترابطة ترابطا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نسقيا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و إلا لكانت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نشازا و انعدم الاتساق بين مكوناتها الموسيقية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على ذلك فالقضية هي ذلك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المعنى الثاوي في الذهن الذي نصور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به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الواقع الخارجي و نرسمه، "لأن الفكر هو الرسم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المنطقي للوقائع"19، أما علامة القضية فهي تلك الألفاظ المدركة بالحواس، سواء أكانت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مكتوبة أو منطوقة، و التي نستخدمها لنعكس ما هو حادث من أمور في الواقع، و هكذا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فعندما نفكر في معنى القضية فإننا لا ننظر إلا في مدى مطابقة الظل لأصله، أي ذلك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الموضوع الذي أسقط ظله في القضية. بعبارة أخرى فإن علامة القضية هي وسيلة تمكننا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ربط القضية بمسمياتها، أي بأشيائها الخارجية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لما كانت القضايا تنحل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أسماء، فإن الذي له معنى هو القضية. أما الأسماء فلا معنى لها لأنها ترمز و تشير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فقط إلى مسمياتها، فيما تكون القضية ذات معنى و قصد و كأنها سهم مصوب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نحو اتجاه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معين (فالأسماء تشبه النقط، بينما القضايا تشبه السهام، و لذا فهي لها قصد)20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معنى قول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): "الأسماء تشبه النقط" أنها لا تمثل إلا نفسها، و 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يكون لها معنى إلا عندما تدخل في تركيب قضية ما تركيبا منطقيا يتماشى و قوانين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 التي نستطيع، من خلالها، إعطاء معنى لهذه الأسماء التي جمعت بشكل له قواعد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ضوابط تركيبية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لكن ما طبيعة العلاقة التي يمكن أن نتصورها بين القضايا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الواقع الخارجي؟ سؤال يجد تفسيراته فيما يسمى بمفهوم التصوير الذي يقدمه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كأساس تنبني عليه أفكار (الرسالة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يؤكد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أن اللغة 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تغدو أن تكون تصويرا للواقع، وأن القضايا ليست إلا رسوما لما هو موجود فيه (القضية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تنقل إلينا أمرا من أمور الواقع، و أن القضايا ليست إلا رسوما جوهرية لذلك الأمر،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ما تلك الصلة في الحقيقة إلا كون هذه القضية رسما منطقيا لهذا الأمر من أمور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الواقع، و القضية لا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تتبث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شيئا إلا بقدر ما هي رسم له)21، و تبعا لذلك لا بد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وجود شيء من الهوية بين الرسم و المرسوم حتى يستطيع أن يمثله تمثيلا خاصا، إما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صوابا أو خطأ، و هذا الشيء المشترك هو الصورة المنطقية، لأن الرسم ليس ذلك التوليف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بين العناصر المشكلة له فقط،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بل هو تمثيل لموجود خارجي، على اعتبار أننا لا يمكن أن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نحكم بان هذا الرسم يمثل ذاك المرسوم بالانطلاق من عناصر الرسم/الصورة، بل لا بد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عملية التعقل و التفكير نقارن من خلالها بين الرسم و المرسوم، و هذا معنى قول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): (أن الرسم لا يستطيع أن يمثل ما فيه من صورة للتمثيل، إنما يعرضه)22،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أي يعرضه لمن يقارن و ينظر إلى الرسم في علاقته بالمرسوم، و حضور الصورة المنطقية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هو الذي يضمن للرسم منطقيته، و كل ما هو غير منطقي لا يقبل التعبير عنه على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الإطلاق، و الفكر هو الرسم المنطقي للواقع، و نعبر عن الفكر الذي هو قضية ذات معنى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بواسطة علامة القضية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إننا عندما نتحدث عن النظرية التصويرية للغة التي تجعل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الرسم تمثيلا للوجود الخارجي، فإننا نغض الطرف عن كون هذا الرسم صادقا أو كاذبا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تمثيله، دون إغفال أن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يضع فروقا دقيقة بين الرسم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Picture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الصورة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Form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منطلقا من كون الرسم له ما يقابله في الواقع الخارجي و هو الوقائع. أما الصورة فلا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تقابلها وقائع في الخارج، بل هي إمكان حدوث هذا الرسم، و بهذا يكون الفرق بين الرسم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الصورة: أن الأول لا يكون إلا و هناك واقعة فعلية مرسومة، أما الصورة فتدل على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إمكان الحدوث لا على الحدوث الفعلي نفسه، أي أن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الرسم تصوير لما هو موجود بالفعل في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الطبيعة، في حين أن الصورة هي التركيبة الرياضية لما يمكن أن يوجد بالفعل. بمعنى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آخر: الأولى هي وجود بالفعل، و الثانية وجود بالقوة أي بالإمكان23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تجدر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الإشارة إلى أن أطروحة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القائلة بأن القضية صورة للواقع قد جرت معها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مجموعة من الالتباسات التي خلفتها عملية الترجمة، فالدكتور يحيى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هويدي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مثلا، يترجم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الكلمة الإنجليزية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Picture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بكلمة (لوحة) بدلا من صورة، لأن هذه الكلمة الأخيرة، حسب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رأيه، قد يفهمها القارئ العربي على أنها مرادفة لكلمة (نسخة)، و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لم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يقصد أبدا أن تكون القضية – أي قضية- نسخة للواقع أو حتى معبرة عنه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4.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القيم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الصدقية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في القضايا المركبة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بعدما تم اعتبار القضايا الذرية نهايات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التحليل التي يمكن أن تصل إليها القضايا المركبة، فإن هذه تعتبر ذات علاقة جدلية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بالقضايا الأولية، فهي لا تصور الواقع و لا تكشف معناه بشكل مباشر، بل هي متولدة عن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القضايا الأولية بواسطة الإنكار أو العطف، و من تم فهي دالات صدق للقضايا الذرية،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كما أن معناها و قيمة الصدق فيها مرتبط بمركباتها الأولية كما هو واضح في المثال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التالي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- 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دخل محمد إلى القسم و تبعه خالد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فهذه قضية مركبة من قضيتين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ذريتين لا تقبلان التجزيء إلى قضايا أبسط منها، و لا يمكن الحكم عليها بالصدق أو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الكذب، أي لا يمكن تعيين قيمة الصدق فيها إلا بالاعتماد على قيم صدق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الأولية التي تؤلفها، لأن ما هو أساسي هو قيم صدق هذه القضايا (الذرية)، أما قيم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صدق القضايا المركبة فيمكن اشتقاقها بالتأويل المنطقي الخالص. و من هذا الاشتقاق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المنطقي تصبح القضية المركبة صادقة إذا كانت القضيتان الذريتان صادقتين، و مسوغ ذلك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أن (نظرية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في القضايا المركبة ترتد إلى نظريته في تركيب دالات الصدق،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فدالة الصدق بالنسبة للقضية ق هي قضية تحتوي على ق بحيث لا يتوقف صدقها أو كذبها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إلا على صدق أو كذب ق و كذلك الحال بالنسبة لدالة صدق قضايا متعددة مثل : ق، ل،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ر)24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إلا أن هذا الحكم ليس تعميميا، فهناك بعض الحالات الاستثنائية من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المركبة التي لا يتوقف صدقها أو كذبها على قيمة الصدق في مركباتها الأولية، (و هما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حالتان متطرفتان من بين مجموعات شروط الصدق)25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حالة تكون فيها القضية صادقة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بالنسبة لكل إمكانات صدق القضايا الأولية، و هي التي تكون شروط صدقها (تحصيل حاصل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و في الحالة الثانية تكون القضية كاذبة بالنسبة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لكل إمكانات الصدق، و بهذا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تكون شروط الصدق هي (التناقض الذاتي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الأحكام الأولى أحكام صادقة بمقتضى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صورتها، و بالتالي فهي أحكام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هيهية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طوطولوجية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Tautologique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لا تضيف شيئا إلى الواقع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لا تقول عنه شيئا كقضايا المنطق و الرياضيات التي هي صادقة دائما بمقتضى حدودها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المكونة لها، فإذا قلنا مثلا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- 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الأعزب هو الشخص غير المتزوج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فإنها تغدو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قضية تحليلية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Analytique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صادقة دونما حاجة إلى التحقق منها تجريبيا، أي دون أن نخرج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 اللغة إلى العالم أو الواقع، و نفس الشيء ينطبق على قضايا الرياضيات مثل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(1+3=4)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ذلك أن هذه العبارة كانت كذلك قبل أن تكون، أو قبل أن نقول: (1+3=4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)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فالموضوع هو عينه المحمول، و من ثم فهي غفل من أي إضافة إلى الواقع، عكس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التركيبية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Synthétique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التي تحتاج إلى التجربة قصد الكشف عن مضمونها مثل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- 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الحديد يتمدد بالحرارة) حتى و إن كان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في تصوره لليقين، يدعو إلى محو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الخطأ الفاصل بين القضايا التحليلية و التركيبية، فقد وضع هذين النوعين من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في صف واحد من حيث اليقين، لأنهما جزء من نسق المعرفة العامة، كلاهما يستمد اليقين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من أرضية هذا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النسق بالتساوي، يقيني (1+1=2) مماثل ليقيني (هذه يدي اليمنى) أو أكتب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الآن على ورقة بيضاء)26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بعبارة أخرى، إن ما يريد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أن يسجله ها هنا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أن يقين القضية الفيزيائية يساوي تماما يقين القضية الحسابية، و بهذا يكون من باب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التعسف وضع حد فاصل بين القضايا التحليلية و التركيبية أو المنطقية و التجريبية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أما قضايا التناقض الذاتي فهي كاذبة بمقتضى صورتها لأن بنيتها المنطقية متناقضة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ذاتيا، فلا يمكن القول مثلا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- 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إما أ أو لا أ) لأن هذا يعتبر تناقضا داخليا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دون أن نكلف أنفسنا الإحالة على الواقع الخارجي، فالسماء مثلا (إما تمطر أو 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تمطر) أما أن نقول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السماء تمطر و لا تمطر) فإن هذه القضية كاذبة في كل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الأحوال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القضية تظهر ما تقوله بحكم تركيبها، و بهذا لا تقول قضية تحصيل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الحاصل و لا قضية التناقض شيئا، إذ ليس لتحصيل الحاصل شروط صدق ما دام صادقا صدقا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غير مشروط، كما أن التناقض لا يصدق بناءا على أي شرط من الشروط27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إذن فليس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هناك احتمال واحد تكون فيه القضية كاذبة في القضايا الرياضية، ف (3+1=4) لا تقول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شيئا عن الوجود الخارجي لأنها كذلك قبليا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و لا تعطينها إلا التعادل بين طرفين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متساويين أو مترادفين لتكون القضية تبعا لذلك مساوية لنفسها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مع ذلك فتحصيل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الحاصل و التناقض ليسا خاليين تماما من المعنى، إنهما جزء من الجهاز الرمزي على نفس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النحو الذي يكون فيه الصفر جزءا من الجهاز الرمزي للحساب)28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إذا كانت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القضايا – حسب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)- تصويرا و رسما للوجود الخارجي، فإن هذه النظرية لا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تنطبق على جميع القضايا ما دامت قضيتا تحصيل الحاصل و التناقض لا تمثلان أي شيء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ممكن، و بالتالي فإن قضايا تحصيل الحاصل و التناقض لا ترتبط بأي علاقة تمثيلية مع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الواقع الخارجي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و هكذا تكون المحصلة أن صدق تحصيل الحاصل يقيني وثوقي، و صدق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التناقض مستحيل في كل الظروف و الأحوال. أما صدق القضايا الأخرى التي تنتمي إلى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هذين النوعين فهو صدق ممكن، بمعنى أنها ليست صادقة في جميع الاحتمالات لأن قيمة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صدقها رهينة بالواقع الخارجي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لكن ما معنى الحد صادق؟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إجابة عن هذا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السؤال تقتضي منا التوسل بآليات المنطق الأرسطي الذي حدد الصدق في قوله:نقول عما هو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موجود أنه غير موجود، و عما هو غير موجود أنه موجود: كاذب، بينما نقول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عما هو موجود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انه موجود و عما هو غير موجود انه غير موجود: صادق)29، و هو ما يعرف في الصيغة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الفلسفية الحديثة : بنظرية التحقق أو نظرية التطابق التي تؤكد أن صدق قضية ما متوقف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على مدى مطابقتها لواقعة موجودة على غرار هذه القضية التجريبية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>(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الشمس مشرقة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التي هي صادقة إذا كانت الشمس مشرقة و كاذبة إذا – وفقط إذا- كانت (الشمس غير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مشرقة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).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لقد كان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لايبنز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– بمنطقه الذي يفرق بين قضايا العقل و الواقع – من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أوائل الرواد الذين ميزوا بين نوعين من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قضايا يتحقق صدقها أو كذبها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بالرجوع إلى العالم الخارجي عن طريق خبرتنا الحسية التجريبية، و نوع ثان من القضايا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يتوقف صدقها على عملية مراجعة و فحص لألفاظها المشكلة لها. فالأولى قضايا تركيبية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احتمالية أو ممكنة، لأن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محمولها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يضيف إلى موضوعه شيئا، و الثانية تحليلية يقينية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لأن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محمولها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لا يغدو أن يكون تكرارا لموضوعها، و هنا لسنا نحن بحاجة إلى ربط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العبارة بالخارج ما دام صدقها متوقفا على عناصرها التي تكونها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إن هذا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التفريق الذي أقامه (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لايبنز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) مهد لظهور تيار الوضعية المنطقية ذي الأسس التجريبية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التي تقر بأن الخبرة الحسية وحدها الكفيلة بإدراك أمور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الواقع بالتجربة العينية و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الملاحظة الفاحصة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1-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لودفيج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 منطقية. ترجمة عزمي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إسلام، ص 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نفسه، عبارة رقم 116، ب، ص 92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3-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د.عبد المنعم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الحفني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الموسوعة الفلسفية ، ص 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4- ADAM SCHAFF : Introduction à la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sémantique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, P 60.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5-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هانز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رايشنباخ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نشأة الفلسفة العلمية، ترجمة د فؤاد زكريا، ص 110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6-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د.محمد ثابت أفندي: أصول المنطق الرياضي، ص 15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7-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د. عبد الرحمان بدوي: مدخل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جديد في فلسفة اللغة، ص 243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8-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د.عبد الرحمان بدوي: مدخل جديد في فلسفة اللغة،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ص 240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9-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يحيى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هويدي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ما هو علم المنطق، ص 148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10-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د. عبد الله الجسمي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المنطق و تصور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للفلسفة، ص 138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11-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 منطقية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فلسفية، ترجمة عزمي إسلامـ ص 91، عبارة رقم 111، 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12- ADAM SCHAFF 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lastRenderedPageBreak/>
              <w:t xml:space="preserve">Introduction à la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sémantique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, P 60.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13- ADAM SCHAFF : Introduction à la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>sémantique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, P 63.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14-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د. عبد الله الجسمي: المنطق و تصور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للفلسفة، ص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141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15-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 ص 144، عبارة رقم61،5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16-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د. عبد الله الجسمي: المنطق و تصور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للفلسفة، ص143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17-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 منطقية فلسفية، ترجمة عزمي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إسلام ص 72، عبارة رقم 12،3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18-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 عبارة رقم 14،3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19-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رسالة منطقية فلسفية، ترجمة عزمي إسلامـ ص 71، عبارة رقم 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20-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نفسه، ص 73،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عبارة 144،3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21-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نفسه، ص 78، عبارة رقم 03،4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22-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منطقية فلسفية، ترجمة عزمي إسلامـ ص 69، عبارة رقم 172،2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23-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 ص 183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24-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 منطقية فلسفية، ترجمة عزمي إسلامـ ص 39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25-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نفسه،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عبارة رقم 46،4 ص 105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26-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د.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ميشال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ماتياس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: تصور اليقين عن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عالم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الفكر، ص 108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lastRenderedPageBreak/>
              <w:t xml:space="preserve">27-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 منطقية فلسفية، ترجمة عزمي إسلامـ ،عبارة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رقم 461،4، ص 105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28-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ل.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فتجنشتاين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رسالة منطقية فلسفية، ترجمة عزمي إسلامـ،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عبارة رقم 4611، 4، ص 105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  <w:t xml:space="preserve">29-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ألفرد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تارسكي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: المفهوم الدلالي للصدق و أسس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الدلاليات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، ترجمة حسان </w:t>
            </w:r>
            <w:proofErr w:type="spellStart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الباهي</w:t>
            </w:r>
            <w:proofErr w:type="spellEnd"/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، مجلة الجمعية الفلسفية المغربية، العدد 3 ص 131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  <w:rtl/>
              </w:rPr>
              <w:t>مصطفى العطار أستاذ مبرز و باحث في اللسانيات</w:t>
            </w:r>
            <w:r w:rsidRPr="0088307B">
              <w:rPr>
                <w:rFonts w:ascii="Arial" w:eastAsia="Times New Roman" w:hAnsi="Arial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88307B" w:rsidRPr="0088307B" w:rsidRDefault="0088307B" w:rsidP="008830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E3C23"/>
              </w:rPr>
            </w:pPr>
            <w:r w:rsidRPr="0088307B">
              <w:rPr>
                <w:rFonts w:ascii="Verdana" w:eastAsia="Times New Roman" w:hAnsi="Verdana" w:cs="Arial"/>
                <w:b/>
                <w:bCs/>
                <w:color w:val="5E3C23"/>
              </w:rPr>
              <w:t>__________________</w:t>
            </w:r>
          </w:p>
        </w:tc>
      </w:tr>
    </w:tbl>
    <w:p w:rsidR="00C62609" w:rsidRDefault="00C62609">
      <w:pPr>
        <w:rPr>
          <w:rFonts w:hint="cs"/>
        </w:rPr>
      </w:pPr>
    </w:p>
    <w:sectPr w:rsidR="00C62609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88307B"/>
    <w:rsid w:val="0088307B"/>
    <w:rsid w:val="00C62609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3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811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1230D"/>
                        <w:left w:val="single" w:sz="4" w:space="0" w:color="41230D"/>
                        <w:bottom w:val="single" w:sz="4" w:space="0" w:color="41230D"/>
                        <w:right w:val="single" w:sz="4" w:space="0" w:color="41230D"/>
                      </w:divBdr>
                    </w:div>
                  </w:divsChild>
                </w:div>
              </w:divsChild>
            </w:div>
            <w:div w:id="1012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71645">
              <w:marLeft w:val="0"/>
              <w:marRight w:val="0"/>
              <w:marTop w:val="0"/>
              <w:marBottom w:val="0"/>
              <w:divBdr>
                <w:top w:val="inset" w:sz="4" w:space="3" w:color="auto"/>
                <w:left w:val="inset" w:sz="4" w:space="3" w:color="auto"/>
                <w:bottom w:val="inset" w:sz="4" w:space="3" w:color="auto"/>
                <w:right w:val="inset" w:sz="4" w:space="3" w:color="auto"/>
              </w:divBdr>
              <w:divsChild>
                <w:div w:id="13230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236">
              <w:marLeft w:val="0"/>
              <w:marRight w:val="0"/>
              <w:marTop w:val="0"/>
              <w:marBottom w:val="0"/>
              <w:divBdr>
                <w:top w:val="single" w:sz="4" w:space="0" w:color="41230D"/>
                <w:left w:val="single" w:sz="4" w:space="0" w:color="41230D"/>
                <w:bottom w:val="single" w:sz="4" w:space="0" w:color="41230D"/>
                <w:right w:val="single" w:sz="4" w:space="0" w:color="41230D"/>
              </w:divBdr>
            </w:div>
            <w:div w:id="1964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9831">
              <w:marLeft w:val="0"/>
              <w:marRight w:val="0"/>
              <w:marTop w:val="0"/>
              <w:marBottom w:val="0"/>
              <w:divBdr>
                <w:top w:val="inset" w:sz="4" w:space="3" w:color="auto"/>
                <w:left w:val="inset" w:sz="4" w:space="3" w:color="auto"/>
                <w:bottom w:val="inset" w:sz="4" w:space="3" w:color="auto"/>
                <w:right w:val="inset" w:sz="4" w:space="3" w:color="auto"/>
              </w:divBdr>
              <w:divsChild>
                <w:div w:id="11812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hyperlink" Target="http://www.almaktabah.net/vb/member.php?u=758" TargetMode="External"/><Relationship Id="rId12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5" Type="http://schemas.openxmlformats.org/officeDocument/2006/relationships/hyperlink" Target="http://arabeagreg2.site.voila.fr/pdf/ELATTAR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hyperlink" Target="http://arabeagreg2.site.voila.fr/pdf/ELATTAR.pdf" TargetMode="External"/><Relationship Id="rId9" Type="http://schemas.openxmlformats.org/officeDocument/2006/relationships/hyperlink" Target="http://www.almaktabah.net/vb/showthread.php?t=6720#top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2010-09-07T23:28:00Z</dcterms:created>
  <dcterms:modified xsi:type="dcterms:W3CDTF">2010-09-07T23:30:00Z</dcterms:modified>
</cp:coreProperties>
</file>